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B65486" w14:textId="52189D48" w:rsidR="003370A1" w:rsidRPr="0082130B" w:rsidRDefault="009B4F06" w:rsidP="00B84594">
      <w:pPr>
        <w:jc w:val="right"/>
        <w:rPr>
          <w:b/>
          <w:sz w:val="32"/>
          <w:szCs w:val="32"/>
          <w:lang w:val="nl-NL"/>
        </w:rPr>
      </w:pPr>
      <w:r w:rsidRPr="0082130B">
        <w:rPr>
          <w:b/>
          <w:noProof/>
          <w:sz w:val="32"/>
          <w:szCs w:val="32"/>
          <w:lang w:eastAsia="nl-BE"/>
        </w:rPr>
        <w:drawing>
          <wp:anchor distT="0" distB="0" distL="114300" distR="114300" simplePos="0" relativeHeight="251658240" behindDoc="1" locked="0" layoutInCell="1" allowOverlap="1" wp14:anchorId="2AD9A70F" wp14:editId="7AEAA2A4">
            <wp:simplePos x="0" y="0"/>
            <wp:positionH relativeFrom="column">
              <wp:posOffset>-329565</wp:posOffset>
            </wp:positionH>
            <wp:positionV relativeFrom="paragraph">
              <wp:posOffset>-396240</wp:posOffset>
            </wp:positionV>
            <wp:extent cx="2880120" cy="13049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315946" name="logo efbww_h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80120" cy="1304925"/>
                    </a:xfrm>
                    <a:prstGeom prst="rect">
                      <a:avLst/>
                    </a:prstGeom>
                  </pic:spPr>
                </pic:pic>
              </a:graphicData>
            </a:graphic>
            <wp14:sizeRelH relativeFrom="page">
              <wp14:pctWidth>0</wp14:pctWidth>
            </wp14:sizeRelH>
            <wp14:sizeRelV relativeFrom="page">
              <wp14:pctHeight>0</wp14:pctHeight>
            </wp14:sizeRelV>
          </wp:anchor>
        </w:drawing>
      </w:r>
    </w:p>
    <w:p w14:paraId="11D595D0" w14:textId="77777777" w:rsidR="003370A1" w:rsidRPr="0082130B" w:rsidRDefault="003370A1" w:rsidP="003370A1">
      <w:pPr>
        <w:jc w:val="both"/>
        <w:rPr>
          <w:b/>
          <w:sz w:val="32"/>
          <w:szCs w:val="32"/>
          <w:lang w:val="nl-NL"/>
        </w:rPr>
      </w:pPr>
    </w:p>
    <w:p w14:paraId="49E10D3A" w14:textId="77777777" w:rsidR="003370A1" w:rsidRPr="0082130B" w:rsidRDefault="003370A1" w:rsidP="003370A1">
      <w:pPr>
        <w:jc w:val="both"/>
        <w:rPr>
          <w:b/>
          <w:sz w:val="32"/>
          <w:szCs w:val="32"/>
          <w:lang w:val="nl-NL"/>
        </w:rPr>
      </w:pPr>
    </w:p>
    <w:p w14:paraId="59C53A8B" w14:textId="77777777" w:rsidR="00401825" w:rsidRPr="0082130B" w:rsidRDefault="009B4F06" w:rsidP="003370A1">
      <w:pPr>
        <w:jc w:val="both"/>
        <w:rPr>
          <w:b/>
          <w:color w:val="4472C4" w:themeColor="accent5"/>
          <w:sz w:val="28"/>
          <w:szCs w:val="28"/>
          <w:lang w:val="nl-NL"/>
        </w:rPr>
      </w:pPr>
      <w:r w:rsidRPr="0082130B">
        <w:rPr>
          <w:b/>
          <w:bCs/>
          <w:color w:val="4472C4" w:themeColor="accent5"/>
          <w:sz w:val="28"/>
          <w:szCs w:val="28"/>
          <w:lang w:val="nl-NL"/>
        </w:rPr>
        <w:t>26 concrete eisen ter oriëntatie van de EFBH-prioriteiten in de komende 12 maanden</w:t>
      </w:r>
    </w:p>
    <w:p w14:paraId="7E63C37B" w14:textId="759B5096" w:rsidR="00401825" w:rsidRPr="0082130B" w:rsidRDefault="009B4F06" w:rsidP="003370A1">
      <w:pPr>
        <w:jc w:val="both"/>
        <w:rPr>
          <w:b/>
          <w:sz w:val="20"/>
          <w:szCs w:val="20"/>
          <w:lang w:val="nl-NL"/>
        </w:rPr>
      </w:pPr>
      <w:r w:rsidRPr="0082130B">
        <w:rPr>
          <w:b/>
          <w:bCs/>
          <w:sz w:val="20"/>
          <w:szCs w:val="20"/>
          <w:lang w:val="nl-NL"/>
        </w:rPr>
        <w:t>De COVID-19-pandemie heeft een Europese en wereldwijde gezondheids-, sociale en economische crisis veroorzaakt.</w:t>
      </w:r>
    </w:p>
    <w:p w14:paraId="544F2F7B" w14:textId="626F794F" w:rsidR="00401825" w:rsidRPr="0082130B" w:rsidRDefault="009B4F06" w:rsidP="003370A1">
      <w:pPr>
        <w:jc w:val="both"/>
        <w:rPr>
          <w:b/>
          <w:sz w:val="20"/>
          <w:szCs w:val="20"/>
          <w:lang w:val="nl-NL"/>
        </w:rPr>
      </w:pPr>
      <w:r w:rsidRPr="0082130B">
        <w:rPr>
          <w:b/>
          <w:bCs/>
          <w:sz w:val="20"/>
          <w:szCs w:val="20"/>
          <w:lang w:val="nl-NL"/>
        </w:rPr>
        <w:t>Ze zal de komende jaren een enorme impact hebben op onze sectoren. Ons strategisch plan en de resoluties die de Algemene Vergadering heeft aangenomen, zijn nog altijd geldig. In het licht van de huidige crisis moeten we ons heroriënteren. De politieke COVID-19-motie van de EFBH gaat in op een aantal van deze bezorgdheden.</w:t>
      </w:r>
      <w:r w:rsidRPr="0082130B">
        <w:rPr>
          <w:sz w:val="20"/>
          <w:szCs w:val="20"/>
          <w:lang w:val="nl-NL"/>
        </w:rPr>
        <w:t xml:space="preserve"> </w:t>
      </w:r>
      <w:r w:rsidRPr="0082130B">
        <w:rPr>
          <w:b/>
          <w:bCs/>
          <w:sz w:val="20"/>
          <w:szCs w:val="20"/>
          <w:lang w:val="nl-NL"/>
        </w:rPr>
        <w:t>De concrete eisen die hier worden voorgesteld, vullen de motie aan.</w:t>
      </w:r>
    </w:p>
    <w:p w14:paraId="7CDD6DCD" w14:textId="698DBE6A" w:rsidR="00401825" w:rsidRPr="0082130B" w:rsidRDefault="009B4F06" w:rsidP="003370A1">
      <w:pPr>
        <w:jc w:val="both"/>
        <w:rPr>
          <w:b/>
          <w:sz w:val="20"/>
          <w:szCs w:val="20"/>
          <w:lang w:val="nl-NL"/>
        </w:rPr>
      </w:pPr>
      <w:r w:rsidRPr="0082130B">
        <w:rPr>
          <w:b/>
          <w:bCs/>
          <w:sz w:val="20"/>
          <w:szCs w:val="20"/>
          <w:lang w:val="nl-NL"/>
        </w:rPr>
        <w:t>De EFBH heeft een aan COVID-19 gewijde webpagina opgezet om de aangesloten bonden te helpen hun ervaringen en goede voorbeelden te delen. De EFBH heeft ook overeenstemming bereikt over gezamenlijke standpunten met de Europese werkgeversfederaties in onze sectoren om tegemoet te komen aan de meest urgente behoeften van de werknemers en de bedrijven en heeft een eerste gezamenlijke oproep tot herstelmaatregelen gelanceerd.</w:t>
      </w:r>
      <w:r w:rsidRPr="0082130B">
        <w:rPr>
          <w:sz w:val="20"/>
          <w:szCs w:val="20"/>
          <w:lang w:val="nl-NL"/>
        </w:rPr>
        <w:t xml:space="preserve"> </w:t>
      </w:r>
      <w:r w:rsidRPr="0082130B">
        <w:rPr>
          <w:b/>
          <w:bCs/>
          <w:sz w:val="20"/>
          <w:szCs w:val="20"/>
          <w:lang w:val="nl-NL"/>
        </w:rPr>
        <w:t xml:space="preserve">Samen met het EVV en het </w:t>
      </w:r>
      <w:proofErr w:type="spellStart"/>
      <w:r w:rsidRPr="0082130B">
        <w:rPr>
          <w:b/>
          <w:bCs/>
          <w:sz w:val="20"/>
          <w:szCs w:val="20"/>
          <w:lang w:val="nl-NL"/>
        </w:rPr>
        <w:t>EIF's</w:t>
      </w:r>
      <w:proofErr w:type="spellEnd"/>
      <w:r w:rsidRPr="0082130B">
        <w:rPr>
          <w:b/>
          <w:bCs/>
          <w:sz w:val="20"/>
          <w:szCs w:val="20"/>
          <w:lang w:val="nl-NL"/>
        </w:rPr>
        <w:t xml:space="preserve"> heeft de EFBH gezamenlijke standpunten uitgewerkt en gezamenlijke lobbyinspanningen ontplooid om verschillende gezondheids-, sociale en economische aspecten van de crisis aan te pakken.</w:t>
      </w:r>
    </w:p>
    <w:p w14:paraId="55CA55CC" w14:textId="77777777" w:rsidR="00401825" w:rsidRPr="0082130B" w:rsidRDefault="009B4F06" w:rsidP="003370A1">
      <w:pPr>
        <w:jc w:val="both"/>
        <w:rPr>
          <w:b/>
          <w:sz w:val="20"/>
          <w:szCs w:val="20"/>
          <w:lang w:val="nl-NL"/>
        </w:rPr>
      </w:pPr>
      <w:r w:rsidRPr="0082130B">
        <w:rPr>
          <w:b/>
          <w:bCs/>
          <w:sz w:val="20"/>
          <w:szCs w:val="20"/>
          <w:lang w:val="nl-NL"/>
        </w:rPr>
        <w:t xml:space="preserve">Onze sectoren zijn cruciaal voor een snel economisch herstel en een rechtvaardige overgang naar een </w:t>
      </w:r>
      <w:proofErr w:type="spellStart"/>
      <w:r w:rsidRPr="0082130B">
        <w:rPr>
          <w:b/>
          <w:bCs/>
          <w:sz w:val="20"/>
          <w:szCs w:val="20"/>
          <w:lang w:val="nl-NL"/>
        </w:rPr>
        <w:t>koolstofneutrale</w:t>
      </w:r>
      <w:proofErr w:type="spellEnd"/>
      <w:r w:rsidRPr="0082130B">
        <w:rPr>
          <w:b/>
          <w:bCs/>
          <w:sz w:val="20"/>
          <w:szCs w:val="20"/>
          <w:lang w:val="nl-NL"/>
        </w:rPr>
        <w:t xml:space="preserve"> samenleving in 2050. Er zal geen duurzaam herstel zijn zonder volledige deelname van de vakbonden.</w:t>
      </w:r>
    </w:p>
    <w:p w14:paraId="4E4A448E" w14:textId="77777777" w:rsidR="00401825" w:rsidRPr="0082130B" w:rsidRDefault="00401825" w:rsidP="003370A1">
      <w:pPr>
        <w:jc w:val="both"/>
        <w:rPr>
          <w:b/>
          <w:sz w:val="20"/>
          <w:szCs w:val="20"/>
          <w:lang w:val="nl-NL"/>
        </w:rPr>
      </w:pPr>
    </w:p>
    <w:p w14:paraId="1234E670" w14:textId="7DCEC5DD" w:rsidR="00401825" w:rsidRPr="0082130B" w:rsidRDefault="009B4F06" w:rsidP="003370A1">
      <w:pPr>
        <w:jc w:val="both"/>
        <w:rPr>
          <w:b/>
          <w:color w:val="7F7F7F" w:themeColor="text1" w:themeTint="80"/>
          <w:sz w:val="24"/>
          <w:szCs w:val="28"/>
          <w:lang w:val="nl-NL"/>
        </w:rPr>
      </w:pPr>
      <w:r w:rsidRPr="0082130B">
        <w:rPr>
          <w:b/>
          <w:bCs/>
          <w:color w:val="7F7F7F" w:themeColor="text1" w:themeTint="80"/>
          <w:sz w:val="24"/>
          <w:szCs w:val="28"/>
          <w:lang w:val="nl-NL"/>
        </w:rPr>
        <w:t>Veiligheid en gezondheid op het werk</w:t>
      </w:r>
    </w:p>
    <w:p w14:paraId="12790AEA" w14:textId="77777777" w:rsidR="00401825" w:rsidRPr="0082130B" w:rsidRDefault="009B4F06" w:rsidP="003370A1">
      <w:pPr>
        <w:jc w:val="both"/>
        <w:rPr>
          <w:b/>
          <w:sz w:val="20"/>
          <w:szCs w:val="20"/>
          <w:lang w:val="nl-NL"/>
        </w:rPr>
      </w:pPr>
      <w:r w:rsidRPr="0082130B">
        <w:rPr>
          <w:b/>
          <w:bCs/>
          <w:sz w:val="20"/>
          <w:szCs w:val="20"/>
          <w:lang w:val="nl-NL"/>
        </w:rPr>
        <w:t xml:space="preserve">De COVID-19-crisis brengt de gezondheid van werknemers in alle aspecten van het arbeidsleven in gevaar. Goede beschermingsstrategieën zijn essentieel voor werkplekken en </w:t>
      </w:r>
      <w:proofErr w:type="spellStart"/>
      <w:r w:rsidRPr="0082130B">
        <w:rPr>
          <w:b/>
          <w:bCs/>
          <w:sz w:val="20"/>
          <w:szCs w:val="20"/>
          <w:lang w:val="nl-NL"/>
        </w:rPr>
        <w:t>werkgerelateerde</w:t>
      </w:r>
      <w:proofErr w:type="spellEnd"/>
      <w:r w:rsidRPr="0082130B">
        <w:rPr>
          <w:b/>
          <w:bCs/>
          <w:sz w:val="20"/>
          <w:szCs w:val="20"/>
          <w:lang w:val="nl-NL"/>
        </w:rPr>
        <w:t xml:space="preserve"> activiteiten van soorten groepen werknemers in de strijd tegen het virus. Precaire werknemers zijn bijzonder kwetsbaar. De sociale partners moeten - met steun van de beleidsmakers - een strategie vaststellen en gecoördineerde actie ondernemen. Die moet op maat gemaakt zijn voor de specifieke werkomstandigheden. We moeten ook de EU-wetgeving inzake veiligheid en gezondheid op het werk aanpassen, met name de herziening van de Richtlijn inzake biologische agentia.</w:t>
      </w:r>
    </w:p>
    <w:p w14:paraId="48A47DA3" w14:textId="77777777" w:rsidR="00401825" w:rsidRPr="0082130B" w:rsidRDefault="009B4F06" w:rsidP="003370A1">
      <w:pPr>
        <w:jc w:val="both"/>
        <w:rPr>
          <w:b/>
          <w:i/>
          <w:sz w:val="20"/>
          <w:szCs w:val="20"/>
          <w:lang w:val="nl-NL"/>
        </w:rPr>
      </w:pPr>
      <w:r w:rsidRPr="0082130B">
        <w:rPr>
          <w:b/>
          <w:bCs/>
          <w:i/>
          <w:iCs/>
          <w:sz w:val="20"/>
          <w:szCs w:val="20"/>
          <w:lang w:val="nl-NL"/>
        </w:rPr>
        <w:t xml:space="preserve">Wat we eisen: </w:t>
      </w:r>
    </w:p>
    <w:p w14:paraId="6974ACC1" w14:textId="0089BBEE" w:rsidR="00401825" w:rsidRPr="0082130B" w:rsidRDefault="009B4F06" w:rsidP="003370A1">
      <w:pPr>
        <w:pStyle w:val="ListParagraph"/>
        <w:numPr>
          <w:ilvl w:val="0"/>
          <w:numId w:val="1"/>
        </w:numPr>
        <w:jc w:val="both"/>
        <w:rPr>
          <w:sz w:val="20"/>
          <w:szCs w:val="20"/>
          <w:lang w:val="nl-NL"/>
        </w:rPr>
      </w:pPr>
      <w:r w:rsidRPr="0082130B">
        <w:rPr>
          <w:sz w:val="20"/>
          <w:szCs w:val="20"/>
          <w:lang w:val="nl-NL"/>
        </w:rPr>
        <w:t>De tenuitvoerlegging, het toezicht en de handhaving van de bestaande V&amp;G-regels met bijzondere aandacht voor de risico's van Covid-19. Een handhaving van de rol van de vakbonden op de werkplek in verband met V&amp;G-aangelegenheden. Een handhaving van de nationale arbeidsinspecties en een aanzienlijk groter aantal controles om alle werknemers te beschermen.</w:t>
      </w:r>
    </w:p>
    <w:p w14:paraId="3C146073" w14:textId="547C7E79" w:rsidR="00401825" w:rsidRPr="0082130B" w:rsidRDefault="009B4F06" w:rsidP="003370A1">
      <w:pPr>
        <w:pStyle w:val="ListParagraph"/>
        <w:numPr>
          <w:ilvl w:val="0"/>
          <w:numId w:val="1"/>
        </w:numPr>
        <w:jc w:val="both"/>
        <w:rPr>
          <w:sz w:val="20"/>
          <w:szCs w:val="20"/>
          <w:lang w:val="nl-NL"/>
        </w:rPr>
      </w:pPr>
      <w:r w:rsidRPr="0082130B">
        <w:rPr>
          <w:sz w:val="20"/>
          <w:szCs w:val="20"/>
          <w:lang w:val="nl-NL"/>
        </w:rPr>
        <w:t>Beschermingsmaatregelen voor alle aspecten van de arbeidsomstandigheden en de daarmee samenhangende activiteiten, waarbij de werknemersvertegenwoordigers en de vakbonden uitgebreid worden betrokken.</w:t>
      </w:r>
    </w:p>
    <w:p w14:paraId="74C4EAAD" w14:textId="77777777" w:rsidR="00401825" w:rsidRPr="0082130B" w:rsidRDefault="009B4F06" w:rsidP="003370A1">
      <w:pPr>
        <w:pStyle w:val="ListParagraph"/>
        <w:numPr>
          <w:ilvl w:val="0"/>
          <w:numId w:val="1"/>
        </w:numPr>
        <w:spacing w:after="0" w:line="240" w:lineRule="auto"/>
        <w:contextualSpacing w:val="0"/>
        <w:jc w:val="both"/>
        <w:rPr>
          <w:rFonts w:cstheme="minorHAnsi"/>
          <w:sz w:val="20"/>
          <w:szCs w:val="20"/>
          <w:lang w:val="nl-NL"/>
        </w:rPr>
      </w:pPr>
      <w:r w:rsidRPr="0082130B">
        <w:rPr>
          <w:rFonts w:cstheme="minorHAnsi"/>
          <w:sz w:val="20"/>
          <w:szCs w:val="20"/>
          <w:lang w:val="nl-NL"/>
        </w:rPr>
        <w:t>Een geactualiseerd concept voor de risicobeoordeling van de arbeidsomstandigheden, met inbegrip van het aanzienlijk toegenomen aandeel van thuiswerk en de daarmee samenhangende risico's voor de geestelijke gezondheid.</w:t>
      </w:r>
    </w:p>
    <w:p w14:paraId="416BD2F4" w14:textId="470CBE0D" w:rsidR="00401825" w:rsidRPr="0082130B" w:rsidRDefault="009B4F06" w:rsidP="003370A1">
      <w:pPr>
        <w:pStyle w:val="ListParagraph"/>
        <w:numPr>
          <w:ilvl w:val="0"/>
          <w:numId w:val="1"/>
        </w:numPr>
        <w:jc w:val="both"/>
        <w:rPr>
          <w:sz w:val="20"/>
          <w:szCs w:val="20"/>
          <w:lang w:val="nl-NL"/>
        </w:rPr>
      </w:pPr>
      <w:r w:rsidRPr="0082130B">
        <w:rPr>
          <w:sz w:val="20"/>
          <w:szCs w:val="20"/>
          <w:lang w:val="nl-NL"/>
        </w:rPr>
        <w:t>Een herziening van Aanbeveling 2003/670/EG betreffende de Europese lijst van beroepsziekten om Covid-19 specifiek op te nemen en van toepassing te laten zijn op alle werknemers die onevenredig aan besmettingsrisico's zijn blootgesteld.</w:t>
      </w:r>
    </w:p>
    <w:p w14:paraId="6088A7E4" w14:textId="4EE3C73F" w:rsidR="0082130B" w:rsidRPr="0082130B" w:rsidRDefault="0082130B">
      <w:pPr>
        <w:spacing w:after="0" w:line="240" w:lineRule="auto"/>
        <w:rPr>
          <w:rFonts w:cstheme="minorHAnsi"/>
          <w:sz w:val="20"/>
          <w:szCs w:val="20"/>
          <w:lang w:val="nl-NL"/>
        </w:rPr>
      </w:pPr>
      <w:r w:rsidRPr="0082130B">
        <w:rPr>
          <w:rFonts w:cstheme="minorHAnsi"/>
          <w:sz w:val="20"/>
          <w:szCs w:val="20"/>
          <w:lang w:val="nl-NL"/>
        </w:rPr>
        <w:br w:type="page"/>
      </w:r>
    </w:p>
    <w:p w14:paraId="6BE2ADFE" w14:textId="77777777" w:rsidR="003370A1" w:rsidRPr="0082130B" w:rsidRDefault="003370A1" w:rsidP="003370A1">
      <w:pPr>
        <w:pStyle w:val="ListParagraph"/>
        <w:spacing w:after="0" w:line="240" w:lineRule="auto"/>
        <w:contextualSpacing w:val="0"/>
        <w:jc w:val="both"/>
        <w:rPr>
          <w:rFonts w:cstheme="minorHAnsi"/>
          <w:sz w:val="20"/>
          <w:szCs w:val="20"/>
          <w:lang w:val="nl-NL"/>
        </w:rPr>
      </w:pPr>
    </w:p>
    <w:p w14:paraId="7239E07B" w14:textId="77777777" w:rsidR="00401825" w:rsidRPr="0082130B" w:rsidRDefault="009B4F06" w:rsidP="003370A1">
      <w:pPr>
        <w:jc w:val="both"/>
        <w:rPr>
          <w:b/>
          <w:i/>
          <w:sz w:val="20"/>
          <w:szCs w:val="20"/>
          <w:lang w:val="nl-NL"/>
        </w:rPr>
      </w:pPr>
      <w:r w:rsidRPr="0082130B">
        <w:rPr>
          <w:b/>
          <w:bCs/>
          <w:i/>
          <w:iCs/>
          <w:sz w:val="20"/>
          <w:szCs w:val="20"/>
          <w:lang w:val="nl-NL"/>
        </w:rPr>
        <w:t>Wat we zullen doen:</w:t>
      </w:r>
    </w:p>
    <w:p w14:paraId="3165CE96" w14:textId="77777777" w:rsidR="00401825" w:rsidRPr="0082130B" w:rsidRDefault="009B4F06" w:rsidP="003370A1">
      <w:pPr>
        <w:pStyle w:val="ListParagraph"/>
        <w:numPr>
          <w:ilvl w:val="0"/>
          <w:numId w:val="2"/>
        </w:numPr>
        <w:spacing w:after="0" w:line="240" w:lineRule="auto"/>
        <w:contextualSpacing w:val="0"/>
        <w:jc w:val="both"/>
        <w:rPr>
          <w:rFonts w:cstheme="minorHAnsi"/>
          <w:sz w:val="20"/>
          <w:szCs w:val="20"/>
          <w:lang w:val="nl-NL"/>
        </w:rPr>
      </w:pPr>
      <w:r w:rsidRPr="0082130B">
        <w:rPr>
          <w:rFonts w:cstheme="minorHAnsi"/>
          <w:sz w:val="20"/>
          <w:szCs w:val="20"/>
          <w:lang w:val="nl-NL"/>
        </w:rPr>
        <w:t xml:space="preserve">Onze aangesloten bonden ondersteunen door het online delen van best </w:t>
      </w:r>
      <w:proofErr w:type="spellStart"/>
      <w:r w:rsidRPr="0082130B">
        <w:rPr>
          <w:rFonts w:cstheme="minorHAnsi"/>
          <w:sz w:val="20"/>
          <w:szCs w:val="20"/>
          <w:lang w:val="nl-NL"/>
        </w:rPr>
        <w:t>practices</w:t>
      </w:r>
      <w:proofErr w:type="spellEnd"/>
      <w:r w:rsidRPr="0082130B">
        <w:rPr>
          <w:rFonts w:cstheme="minorHAnsi"/>
          <w:sz w:val="20"/>
          <w:szCs w:val="20"/>
          <w:lang w:val="nl-NL"/>
        </w:rPr>
        <w:t xml:space="preserve"> en door het werk van de Coördinatiegroep Veiligheid en Gezondheid.</w:t>
      </w:r>
    </w:p>
    <w:p w14:paraId="29B32CBB" w14:textId="632C1D8A" w:rsidR="00401825" w:rsidRPr="0082130B" w:rsidRDefault="009B4F06" w:rsidP="003370A1">
      <w:pPr>
        <w:pStyle w:val="ListParagraph"/>
        <w:numPr>
          <w:ilvl w:val="0"/>
          <w:numId w:val="2"/>
        </w:numPr>
        <w:spacing w:after="0" w:line="240" w:lineRule="auto"/>
        <w:contextualSpacing w:val="0"/>
        <w:jc w:val="both"/>
        <w:rPr>
          <w:rFonts w:cstheme="minorHAnsi"/>
          <w:sz w:val="20"/>
          <w:szCs w:val="20"/>
          <w:lang w:val="nl-NL"/>
        </w:rPr>
      </w:pPr>
      <w:r w:rsidRPr="0082130B">
        <w:rPr>
          <w:rFonts w:cstheme="minorHAnsi"/>
          <w:sz w:val="20"/>
          <w:szCs w:val="20"/>
          <w:lang w:val="nl-NL"/>
        </w:rPr>
        <w:t>Onze aangesloten bonden ondersteunen door om een strategie van "bescherming en preventie" af te dwingen, d.w.z. geen terugkeer naar het werk zonder duidelijke V&amp;G-normen op de werkplek, met inbegrip van een risicobeoordeling en maatregelen om een tweede golf van het virus te voorkomen.</w:t>
      </w:r>
    </w:p>
    <w:p w14:paraId="59C7CC69" w14:textId="2E762D72" w:rsidR="00F121C8" w:rsidRPr="0082130B" w:rsidRDefault="009B4F06" w:rsidP="003370A1">
      <w:pPr>
        <w:pStyle w:val="ListParagraph"/>
        <w:numPr>
          <w:ilvl w:val="0"/>
          <w:numId w:val="2"/>
        </w:numPr>
        <w:jc w:val="both"/>
        <w:rPr>
          <w:sz w:val="20"/>
          <w:szCs w:val="20"/>
          <w:lang w:val="nl-NL"/>
        </w:rPr>
      </w:pPr>
      <w:r w:rsidRPr="0082130B">
        <w:rPr>
          <w:sz w:val="20"/>
          <w:szCs w:val="20"/>
          <w:lang w:val="nl-NL"/>
        </w:rPr>
        <w:t xml:space="preserve">Samen met het EVV en de andere </w:t>
      </w:r>
      <w:proofErr w:type="spellStart"/>
      <w:r w:rsidRPr="0082130B">
        <w:rPr>
          <w:sz w:val="20"/>
          <w:szCs w:val="20"/>
          <w:lang w:val="nl-NL"/>
        </w:rPr>
        <w:t>EIF's</w:t>
      </w:r>
      <w:proofErr w:type="spellEnd"/>
      <w:r w:rsidRPr="0082130B">
        <w:rPr>
          <w:sz w:val="20"/>
          <w:szCs w:val="20"/>
          <w:lang w:val="nl-NL"/>
        </w:rPr>
        <w:t xml:space="preserve"> lobbyen voor de erkenning van COVID-19 als beroepsziekte.</w:t>
      </w:r>
      <w:bookmarkStart w:id="0" w:name="_Hlk40085257"/>
    </w:p>
    <w:p w14:paraId="60F9C71D" w14:textId="24B17F76" w:rsidR="00401825" w:rsidRPr="0082130B" w:rsidRDefault="009B4F06" w:rsidP="003370A1">
      <w:pPr>
        <w:pStyle w:val="ListParagraph"/>
        <w:numPr>
          <w:ilvl w:val="0"/>
          <w:numId w:val="2"/>
        </w:numPr>
        <w:jc w:val="both"/>
        <w:rPr>
          <w:sz w:val="20"/>
          <w:szCs w:val="20"/>
          <w:lang w:val="nl-NL"/>
        </w:rPr>
      </w:pPr>
      <w:r w:rsidRPr="0082130B">
        <w:rPr>
          <w:sz w:val="20"/>
          <w:szCs w:val="20"/>
          <w:lang w:val="nl-NL"/>
        </w:rPr>
        <w:t xml:space="preserve">Samen met het EVV en de andere </w:t>
      </w:r>
      <w:proofErr w:type="spellStart"/>
      <w:r w:rsidRPr="0082130B">
        <w:rPr>
          <w:sz w:val="20"/>
          <w:szCs w:val="20"/>
          <w:lang w:val="nl-NL"/>
        </w:rPr>
        <w:t>EIF's</w:t>
      </w:r>
      <w:proofErr w:type="spellEnd"/>
      <w:r w:rsidRPr="0082130B">
        <w:rPr>
          <w:sz w:val="20"/>
          <w:szCs w:val="20"/>
          <w:lang w:val="nl-NL"/>
        </w:rPr>
        <w:t xml:space="preserve"> lobbyen voor de opname van het </w:t>
      </w:r>
      <w:hyperlink r:id="rId8" w:history="1">
        <w:r w:rsidRPr="0082130B">
          <w:rPr>
            <w:rStyle w:val="Hyperlink"/>
            <w:sz w:val="20"/>
            <w:szCs w:val="20"/>
            <w:lang w:val="nl-NL"/>
          </w:rPr>
          <w:t>Co</w:t>
        </w:r>
        <w:r w:rsidRPr="0082130B">
          <w:rPr>
            <w:rStyle w:val="Hyperlink"/>
            <w:sz w:val="20"/>
            <w:szCs w:val="20"/>
            <w:lang w:val="nl-NL"/>
          </w:rPr>
          <w:t>r</w:t>
        </w:r>
        <w:r w:rsidRPr="0082130B">
          <w:rPr>
            <w:rStyle w:val="Hyperlink"/>
            <w:sz w:val="20"/>
            <w:szCs w:val="20"/>
            <w:lang w:val="nl-NL"/>
          </w:rPr>
          <w:t>onavirus</w:t>
        </w:r>
      </w:hyperlink>
      <w:r w:rsidRPr="0082130B">
        <w:rPr>
          <w:sz w:val="20"/>
          <w:szCs w:val="20"/>
          <w:lang w:val="nl-NL"/>
        </w:rPr>
        <w:t xml:space="preserve"> </w:t>
      </w:r>
      <w:hyperlink r:id="rId9" w:tooltip="SARS-CoV-2" w:history="1">
        <w:r w:rsidRPr="0082130B">
          <w:rPr>
            <w:rStyle w:val="Hyperlink"/>
            <w:sz w:val="20"/>
            <w:szCs w:val="20"/>
            <w:lang w:val="nl-NL"/>
          </w:rPr>
          <w:t>SAR</w:t>
        </w:r>
        <w:r w:rsidRPr="0082130B">
          <w:rPr>
            <w:rStyle w:val="Hyperlink"/>
            <w:sz w:val="20"/>
            <w:szCs w:val="20"/>
            <w:lang w:val="nl-NL"/>
          </w:rPr>
          <w:t>S</w:t>
        </w:r>
        <w:r w:rsidRPr="0082130B">
          <w:rPr>
            <w:rStyle w:val="Hyperlink"/>
            <w:sz w:val="20"/>
            <w:szCs w:val="20"/>
            <w:lang w:val="nl-NL"/>
          </w:rPr>
          <w:t>-CoV-2</w:t>
        </w:r>
      </w:hyperlink>
      <w:bookmarkStart w:id="1" w:name="_GoBack"/>
      <w:bookmarkEnd w:id="1"/>
      <w:r w:rsidRPr="0082130B">
        <w:rPr>
          <w:sz w:val="20"/>
          <w:szCs w:val="20"/>
          <w:lang w:val="nl-NL"/>
        </w:rPr>
        <w:t xml:space="preserve"> in groep 4 van bijlage IV van de Richtlijn inzake biologische agentia, die betrekking heeft op de bescherming van werknemers tegen soortgelijke agentia, met inbegrip van virussen.</w:t>
      </w:r>
      <w:bookmarkEnd w:id="0"/>
    </w:p>
    <w:p w14:paraId="69587DBF" w14:textId="77777777" w:rsidR="00401825" w:rsidRPr="0082130B" w:rsidRDefault="00401825" w:rsidP="003370A1">
      <w:pPr>
        <w:pStyle w:val="ListParagraph"/>
        <w:jc w:val="both"/>
        <w:rPr>
          <w:sz w:val="20"/>
          <w:szCs w:val="20"/>
          <w:lang w:val="nl-NL"/>
        </w:rPr>
      </w:pPr>
    </w:p>
    <w:p w14:paraId="02DCFCE7" w14:textId="77777777" w:rsidR="003370A1" w:rsidRPr="0082130B" w:rsidRDefault="003370A1" w:rsidP="003370A1">
      <w:pPr>
        <w:pStyle w:val="ListParagraph"/>
        <w:jc w:val="both"/>
        <w:rPr>
          <w:sz w:val="20"/>
          <w:szCs w:val="20"/>
          <w:lang w:val="nl-NL"/>
        </w:rPr>
      </w:pPr>
    </w:p>
    <w:p w14:paraId="72DEEEB3" w14:textId="06BA40FD" w:rsidR="00401825" w:rsidRPr="0082130B" w:rsidRDefault="009B4F06" w:rsidP="003370A1">
      <w:pPr>
        <w:jc w:val="both"/>
        <w:rPr>
          <w:b/>
          <w:color w:val="7F7F7F" w:themeColor="text1" w:themeTint="80"/>
          <w:sz w:val="24"/>
          <w:szCs w:val="28"/>
          <w:lang w:val="nl-NL"/>
        </w:rPr>
      </w:pPr>
      <w:r w:rsidRPr="0082130B">
        <w:rPr>
          <w:b/>
          <w:bCs/>
          <w:color w:val="7F7F7F" w:themeColor="text1" w:themeTint="80"/>
          <w:sz w:val="24"/>
          <w:szCs w:val="28"/>
          <w:lang w:val="nl-NL"/>
        </w:rPr>
        <w:t>Democratie op het werk en sociale dialoog</w:t>
      </w:r>
    </w:p>
    <w:p w14:paraId="6D783F7D" w14:textId="325BE3D5" w:rsidR="00401825" w:rsidRPr="0082130B" w:rsidRDefault="009B4F06" w:rsidP="003370A1">
      <w:pPr>
        <w:jc w:val="both"/>
        <w:rPr>
          <w:rFonts w:cstheme="minorHAnsi"/>
          <w:b/>
          <w:sz w:val="20"/>
          <w:szCs w:val="20"/>
          <w:lang w:val="nl-NL"/>
        </w:rPr>
      </w:pPr>
      <w:r w:rsidRPr="0082130B">
        <w:rPr>
          <w:rFonts w:cstheme="minorHAnsi"/>
          <w:b/>
          <w:bCs/>
          <w:sz w:val="20"/>
          <w:szCs w:val="20"/>
          <w:lang w:val="nl-NL"/>
        </w:rPr>
        <w:t xml:space="preserve">De COVID-19-crisis heeft alle werknemers en bedrijven getroffen, maar deze impact verschilt sterk per sector. Het beheer van de crisis toont duidelijk aan </w:t>
      </w:r>
      <w:r w:rsidRPr="0082130B">
        <w:rPr>
          <w:rFonts w:cstheme="minorHAnsi"/>
          <w:b/>
          <w:bCs/>
          <w:sz w:val="20"/>
          <w:szCs w:val="20"/>
          <w:shd w:val="clear" w:color="auto" w:fill="FFFFFF"/>
          <w:lang w:val="nl-NL"/>
        </w:rPr>
        <w:t>dat autonome sectorale arbeidsverhoudingen een krachtig, effectief en efficiënt instrument zijn om crises te beheersen en sociale vooruitgang te boeken en specifieke behoeften en uitdagingen aan te pakken.</w:t>
      </w:r>
    </w:p>
    <w:p w14:paraId="392895EC" w14:textId="0A402585" w:rsidR="00401825" w:rsidRPr="0082130B" w:rsidRDefault="009B4F06" w:rsidP="003370A1">
      <w:pPr>
        <w:jc w:val="both"/>
        <w:rPr>
          <w:sz w:val="20"/>
          <w:szCs w:val="20"/>
          <w:lang w:val="nl-NL"/>
        </w:rPr>
      </w:pPr>
      <w:r w:rsidRPr="0082130B">
        <w:rPr>
          <w:b/>
          <w:bCs/>
          <w:sz w:val="20"/>
          <w:szCs w:val="20"/>
          <w:lang w:val="nl-NL"/>
        </w:rPr>
        <w:t>Wat we eisen:</w:t>
      </w:r>
    </w:p>
    <w:p w14:paraId="650C4DC8" w14:textId="77777777" w:rsidR="00401825" w:rsidRPr="0082130B" w:rsidRDefault="009B4F06" w:rsidP="003370A1">
      <w:pPr>
        <w:pStyle w:val="ListParagraph"/>
        <w:numPr>
          <w:ilvl w:val="0"/>
          <w:numId w:val="2"/>
        </w:numPr>
        <w:jc w:val="both"/>
        <w:rPr>
          <w:bCs/>
          <w:sz w:val="20"/>
          <w:szCs w:val="20"/>
          <w:lang w:val="nl-NL"/>
        </w:rPr>
      </w:pPr>
      <w:r w:rsidRPr="0082130B">
        <w:rPr>
          <w:rFonts w:cs="Times New Roman"/>
          <w:bCs/>
          <w:sz w:val="20"/>
          <w:szCs w:val="20"/>
          <w:lang w:val="nl-NL"/>
        </w:rPr>
        <w:t>De ambitieuze tenuitvoerlegging van de Europese pijler van de sociale rechten (EPSR) als vlaggenschip van het sociale initiatief van de Europese Commissie, dat de EU verplicht tot een "sociale triple A".</w:t>
      </w:r>
      <w:r w:rsidRPr="0082130B">
        <w:rPr>
          <w:rFonts w:cs="Times New Roman"/>
          <w:bCs/>
          <w:i/>
          <w:iCs/>
          <w:sz w:val="20"/>
          <w:szCs w:val="20"/>
          <w:lang w:val="nl-NL"/>
        </w:rPr>
        <w:t xml:space="preserve"> Fundamentele beginselen van het EPSR zoals </w:t>
      </w:r>
      <w:r w:rsidRPr="0082130B">
        <w:rPr>
          <w:rFonts w:cstheme="minorHAnsi"/>
          <w:bCs/>
          <w:sz w:val="20"/>
          <w:szCs w:val="20"/>
          <w:shd w:val="clear" w:color="auto" w:fill="FFFFFF"/>
          <w:lang w:val="nl-NL"/>
        </w:rPr>
        <w:t>"Gelijke kansen en toegang tot de arbeidsmarkt" (hoofdstuk I), "Billijke arbeidsvoorwaarden" (hoofdstuk II) en "Sociale bescherming en inclusie" (hoofdstuk III) vereisen dat alle lidstaten de nationale sectorale arbeidsverhoudingen</w:t>
      </w:r>
      <w:r w:rsidRPr="0082130B">
        <w:rPr>
          <w:rFonts w:cstheme="minorHAnsi"/>
          <w:bCs/>
          <w:i/>
          <w:iCs/>
          <w:sz w:val="20"/>
          <w:szCs w:val="20"/>
          <w:shd w:val="clear" w:color="auto" w:fill="FFFFFF"/>
          <w:lang w:val="nl-NL"/>
        </w:rPr>
        <w:t xml:space="preserve"> </w:t>
      </w:r>
      <w:r w:rsidRPr="0082130B">
        <w:rPr>
          <w:rFonts w:cstheme="minorHAnsi"/>
          <w:bCs/>
          <w:sz w:val="20"/>
          <w:szCs w:val="20"/>
          <w:shd w:val="clear" w:color="auto" w:fill="FFFFFF"/>
          <w:lang w:val="nl-NL"/>
        </w:rPr>
        <w:t>erkennen, stimuleren, bevorderen en ondersteunen.</w:t>
      </w:r>
    </w:p>
    <w:p w14:paraId="2410E3B3" w14:textId="59EC0933" w:rsidR="00401825" w:rsidRPr="0082130B" w:rsidRDefault="009B4F06" w:rsidP="003370A1">
      <w:pPr>
        <w:pStyle w:val="ListParagraph"/>
        <w:numPr>
          <w:ilvl w:val="0"/>
          <w:numId w:val="2"/>
        </w:numPr>
        <w:jc w:val="both"/>
        <w:rPr>
          <w:sz w:val="20"/>
          <w:szCs w:val="20"/>
          <w:lang w:val="nl-NL"/>
        </w:rPr>
      </w:pPr>
      <w:r w:rsidRPr="0082130B">
        <w:rPr>
          <w:sz w:val="20"/>
          <w:szCs w:val="20"/>
          <w:lang w:val="nl-NL"/>
        </w:rPr>
        <w:t>Extra Europese financiering ter ondersteuning en versterking van de sociale dialoog op bedrijfs-, sectoraal, nationaal en Europees niveau en een Europees kader ter bescherming en facilitering van de sectorale collectieve arbeidsonderhandelingen en de collectieve grondrechten van de vakbonden, met inbegrip van het recht op toegang tot bouwplaatsen, op organisatie, op informatie en raadpleging en op deelname aan de besluitvorming, en op het nemen van vakbondsacties op nationaal en Europees niveau.</w:t>
      </w:r>
    </w:p>
    <w:p w14:paraId="36FC0F0A" w14:textId="4F29D7F9" w:rsidR="00401825" w:rsidRPr="0082130B" w:rsidRDefault="009B4F06" w:rsidP="003370A1">
      <w:pPr>
        <w:pStyle w:val="ListParagraph"/>
        <w:numPr>
          <w:ilvl w:val="0"/>
          <w:numId w:val="2"/>
        </w:numPr>
        <w:jc w:val="both"/>
        <w:rPr>
          <w:b/>
          <w:sz w:val="20"/>
          <w:szCs w:val="20"/>
          <w:u w:val="single"/>
          <w:lang w:val="nl-NL"/>
        </w:rPr>
      </w:pPr>
      <w:r w:rsidRPr="0082130B">
        <w:rPr>
          <w:sz w:val="20"/>
          <w:szCs w:val="20"/>
          <w:lang w:val="nl-NL"/>
        </w:rPr>
        <w:t xml:space="preserve">Een herzien en versterkt Europees kader voor informatie en raadpleging in multinationale ondernemingen. De </w:t>
      </w:r>
      <w:proofErr w:type="spellStart"/>
      <w:r w:rsidRPr="0082130B">
        <w:rPr>
          <w:sz w:val="20"/>
          <w:szCs w:val="20"/>
          <w:lang w:val="nl-NL"/>
        </w:rPr>
        <w:t>EOR's</w:t>
      </w:r>
      <w:proofErr w:type="spellEnd"/>
      <w:r w:rsidRPr="0082130B">
        <w:rPr>
          <w:sz w:val="20"/>
          <w:szCs w:val="20"/>
          <w:lang w:val="nl-NL"/>
        </w:rPr>
        <w:t xml:space="preserve"> moeten actief worden betrokken bij alle besluitvorming in verband met de COVID-19-crisis. Er moeten doeltreffende en afschrikkende sancties komen om de rechten van de werknemersvertegenwoordigers die in de EOR-richtlijn en de nationale wetgeving ter uitvoering daarvan zijn vastgelegd, te doen naleven.</w:t>
      </w:r>
    </w:p>
    <w:p w14:paraId="7ED9B145" w14:textId="134F3B42" w:rsidR="00860344" w:rsidRPr="0082130B" w:rsidRDefault="009B4F06" w:rsidP="003370A1">
      <w:pPr>
        <w:pStyle w:val="ListParagraph"/>
        <w:numPr>
          <w:ilvl w:val="0"/>
          <w:numId w:val="2"/>
        </w:numPr>
        <w:jc w:val="both"/>
        <w:rPr>
          <w:sz w:val="20"/>
          <w:szCs w:val="20"/>
          <w:lang w:val="nl-NL"/>
        </w:rPr>
      </w:pPr>
      <w:r w:rsidRPr="0082130B">
        <w:rPr>
          <w:sz w:val="20"/>
          <w:szCs w:val="20"/>
          <w:lang w:val="nl-NL"/>
        </w:rPr>
        <w:t>Een herzien en versterkt Europees kader voor transnationale bedrijfsherstructureringen en de tenuitvoerlegging en handhaving van de bestaande rechten van werknemersvertegenwoordigers en vakbonden in dit verband.</w:t>
      </w:r>
      <w:bookmarkStart w:id="2" w:name="_Hlk40085464"/>
    </w:p>
    <w:p w14:paraId="00729E94" w14:textId="77777777" w:rsidR="00401825" w:rsidRPr="0082130B" w:rsidRDefault="009B4F06" w:rsidP="003370A1">
      <w:pPr>
        <w:pStyle w:val="ListParagraph"/>
        <w:numPr>
          <w:ilvl w:val="0"/>
          <w:numId w:val="2"/>
        </w:numPr>
        <w:jc w:val="both"/>
        <w:rPr>
          <w:sz w:val="20"/>
          <w:szCs w:val="20"/>
          <w:lang w:val="nl-NL"/>
        </w:rPr>
      </w:pPr>
      <w:r w:rsidRPr="0082130B">
        <w:rPr>
          <w:sz w:val="20"/>
          <w:szCs w:val="20"/>
          <w:lang w:val="nl-NL"/>
        </w:rPr>
        <w:t>Herziening van de Europese kaderrichtlijn inzake veiligheid en gezondheid op het werk (89/391) en de Richtlijnen inzake de voorlichting en raadpleging van werknemers om ervoor te zorgen dat werknemers volledig worden betrokken bij alle maatregelen van bedrijven op het gebied van veiligheid en gezondheid op het werk, met inbegrip van het recht op initiatieven op dit gebied.</w:t>
      </w:r>
      <w:bookmarkEnd w:id="2"/>
    </w:p>
    <w:p w14:paraId="483A46A4" w14:textId="77777777" w:rsidR="00401825" w:rsidRPr="0082130B" w:rsidRDefault="00401825" w:rsidP="003370A1">
      <w:pPr>
        <w:pStyle w:val="ListParagraph"/>
        <w:jc w:val="both"/>
        <w:rPr>
          <w:sz w:val="20"/>
          <w:szCs w:val="20"/>
          <w:lang w:val="nl-NL"/>
        </w:rPr>
      </w:pPr>
    </w:p>
    <w:p w14:paraId="7EB4E83A" w14:textId="61A1179C" w:rsidR="00401825" w:rsidRPr="0082130B" w:rsidRDefault="009B4F06" w:rsidP="003370A1">
      <w:pPr>
        <w:pStyle w:val="ListParagraph"/>
        <w:tabs>
          <w:tab w:val="left" w:pos="2820"/>
        </w:tabs>
        <w:ind w:left="0"/>
        <w:jc w:val="both"/>
        <w:rPr>
          <w:b/>
          <w:i/>
          <w:sz w:val="20"/>
          <w:szCs w:val="20"/>
          <w:lang w:val="nl-NL"/>
        </w:rPr>
      </w:pPr>
      <w:r w:rsidRPr="0082130B">
        <w:rPr>
          <w:b/>
          <w:bCs/>
          <w:i/>
          <w:iCs/>
          <w:sz w:val="20"/>
          <w:szCs w:val="20"/>
          <w:lang w:val="nl-NL"/>
        </w:rPr>
        <w:t>Wat we zullen doen:</w:t>
      </w:r>
    </w:p>
    <w:p w14:paraId="7D3DFEE4" w14:textId="7C13A432" w:rsidR="00401825" w:rsidRPr="0082130B" w:rsidRDefault="00401825" w:rsidP="003370A1">
      <w:pPr>
        <w:pStyle w:val="ListParagraph"/>
        <w:tabs>
          <w:tab w:val="left" w:pos="2820"/>
        </w:tabs>
        <w:ind w:left="0"/>
        <w:jc w:val="both"/>
        <w:rPr>
          <w:sz w:val="20"/>
          <w:szCs w:val="20"/>
          <w:lang w:val="nl-NL"/>
        </w:rPr>
      </w:pPr>
    </w:p>
    <w:p w14:paraId="4E685A8D" w14:textId="188EFAEB" w:rsidR="00401825" w:rsidRPr="0082130B" w:rsidRDefault="009B4F06" w:rsidP="003370A1">
      <w:pPr>
        <w:pStyle w:val="ListParagraph"/>
        <w:numPr>
          <w:ilvl w:val="0"/>
          <w:numId w:val="3"/>
        </w:numPr>
        <w:jc w:val="both"/>
        <w:rPr>
          <w:sz w:val="20"/>
          <w:szCs w:val="20"/>
          <w:lang w:val="nl-NL"/>
        </w:rPr>
      </w:pPr>
      <w:r w:rsidRPr="0082130B">
        <w:rPr>
          <w:sz w:val="20"/>
          <w:szCs w:val="20"/>
          <w:lang w:val="nl-NL"/>
        </w:rPr>
        <w:t xml:space="preserve">Toezicht houden op de gevolgen van de COVID-19-crisis voor de lidmaatschapscijfers. De uitwisseling ondersteunen van best </w:t>
      </w:r>
      <w:proofErr w:type="spellStart"/>
      <w:r w:rsidRPr="0082130B">
        <w:rPr>
          <w:sz w:val="20"/>
          <w:szCs w:val="20"/>
          <w:lang w:val="nl-NL"/>
        </w:rPr>
        <w:t>practices</w:t>
      </w:r>
      <w:proofErr w:type="spellEnd"/>
      <w:r w:rsidRPr="0082130B">
        <w:rPr>
          <w:sz w:val="20"/>
          <w:szCs w:val="20"/>
          <w:lang w:val="nl-NL"/>
        </w:rPr>
        <w:t xml:space="preserve"> van syndicale organisatie tussen aangesloten bonden met een focus op het werven van nieuwe leden en het behouden van leden.</w:t>
      </w:r>
    </w:p>
    <w:p w14:paraId="1466B874" w14:textId="403CBA73" w:rsidR="00401825" w:rsidRPr="0082130B" w:rsidRDefault="009B4F06" w:rsidP="003370A1">
      <w:pPr>
        <w:pStyle w:val="ListParagraph"/>
        <w:numPr>
          <w:ilvl w:val="0"/>
          <w:numId w:val="3"/>
        </w:numPr>
        <w:jc w:val="both"/>
        <w:rPr>
          <w:sz w:val="20"/>
          <w:szCs w:val="20"/>
          <w:lang w:val="nl-NL"/>
        </w:rPr>
      </w:pPr>
      <w:r w:rsidRPr="0082130B">
        <w:rPr>
          <w:sz w:val="20"/>
          <w:szCs w:val="20"/>
          <w:lang w:val="nl-NL"/>
        </w:rPr>
        <w:t>Onze corona-webpagina verder ontwikkelen om de aangesloten bonden te helpen bij het delen van goede praktijken bij de aanpak van de COVID-19-crisis in onze sectoren.</w:t>
      </w:r>
    </w:p>
    <w:p w14:paraId="770ACBC0" w14:textId="77777777" w:rsidR="0082130B" w:rsidRPr="0082130B" w:rsidRDefault="0082130B">
      <w:pPr>
        <w:spacing w:after="0" w:line="240" w:lineRule="auto"/>
        <w:rPr>
          <w:sz w:val="20"/>
          <w:szCs w:val="20"/>
          <w:lang w:val="nl-NL"/>
        </w:rPr>
      </w:pPr>
      <w:r w:rsidRPr="0082130B">
        <w:rPr>
          <w:sz w:val="20"/>
          <w:szCs w:val="20"/>
          <w:lang w:val="nl-NL"/>
        </w:rPr>
        <w:br w:type="page"/>
      </w:r>
    </w:p>
    <w:p w14:paraId="43BEFCD4" w14:textId="74C9A6A4" w:rsidR="00401825" w:rsidRPr="0082130B" w:rsidRDefault="009B4F06" w:rsidP="003370A1">
      <w:pPr>
        <w:pStyle w:val="ListParagraph"/>
        <w:numPr>
          <w:ilvl w:val="0"/>
          <w:numId w:val="3"/>
        </w:numPr>
        <w:jc w:val="both"/>
        <w:rPr>
          <w:sz w:val="20"/>
          <w:szCs w:val="20"/>
          <w:lang w:val="nl-NL"/>
        </w:rPr>
      </w:pPr>
      <w:r w:rsidRPr="0082130B">
        <w:rPr>
          <w:sz w:val="20"/>
          <w:szCs w:val="20"/>
          <w:lang w:val="nl-NL"/>
        </w:rPr>
        <w:lastRenderedPageBreak/>
        <w:t>Via de Coördinatiegroep Veiligheid en Gezondheid goede praktijken uitwisselen en ontwikkelen om de vertegenwoordiging van werknemersvertegenwoordigers en vakbonden bij alle aspecten van het veiligheids- gezondheidsbeleid van de bedrijven te ondersteunen en te bevorderen en concepten van directe participatie van werknemers te stimuleren.</w:t>
      </w:r>
    </w:p>
    <w:p w14:paraId="10F61DD2" w14:textId="77777777" w:rsidR="00401825" w:rsidRPr="0082130B" w:rsidRDefault="009B4F06" w:rsidP="003370A1">
      <w:pPr>
        <w:pStyle w:val="ListParagraph"/>
        <w:numPr>
          <w:ilvl w:val="0"/>
          <w:numId w:val="3"/>
        </w:numPr>
        <w:jc w:val="both"/>
        <w:rPr>
          <w:sz w:val="20"/>
          <w:szCs w:val="20"/>
          <w:lang w:val="nl-NL"/>
        </w:rPr>
      </w:pPr>
      <w:r w:rsidRPr="0082130B">
        <w:rPr>
          <w:sz w:val="20"/>
          <w:szCs w:val="20"/>
          <w:lang w:val="nl-NL"/>
        </w:rPr>
        <w:t xml:space="preserve">Samen met het EVV en de </w:t>
      </w:r>
      <w:proofErr w:type="spellStart"/>
      <w:r w:rsidRPr="0082130B">
        <w:rPr>
          <w:sz w:val="20"/>
          <w:szCs w:val="20"/>
          <w:lang w:val="nl-NL"/>
        </w:rPr>
        <w:t>EIF's</w:t>
      </w:r>
      <w:proofErr w:type="spellEnd"/>
      <w:r w:rsidRPr="0082130B">
        <w:rPr>
          <w:sz w:val="20"/>
          <w:szCs w:val="20"/>
          <w:lang w:val="nl-NL"/>
        </w:rPr>
        <w:t xml:space="preserve"> lobbyen voor een spoedige herziening van de EOR-richtlijn en de Richtlijnen met betrekking tot informatie en raadpleging in geval van transnationale herstructurering.</w:t>
      </w:r>
    </w:p>
    <w:p w14:paraId="4CE2BBBC" w14:textId="74376D6C" w:rsidR="00401825" w:rsidRPr="0082130B" w:rsidRDefault="009B4F06" w:rsidP="003370A1">
      <w:pPr>
        <w:pStyle w:val="ListParagraph"/>
        <w:numPr>
          <w:ilvl w:val="0"/>
          <w:numId w:val="3"/>
        </w:numPr>
        <w:jc w:val="both"/>
        <w:rPr>
          <w:sz w:val="20"/>
          <w:szCs w:val="20"/>
          <w:lang w:val="nl-NL"/>
        </w:rPr>
      </w:pPr>
      <w:r w:rsidRPr="0082130B">
        <w:rPr>
          <w:sz w:val="20"/>
          <w:szCs w:val="20"/>
          <w:lang w:val="nl-NL"/>
        </w:rPr>
        <w:t xml:space="preserve">Via de EOR-coördinatoren van de EFBH zullen we </w:t>
      </w:r>
      <w:proofErr w:type="spellStart"/>
      <w:r w:rsidRPr="0082130B">
        <w:rPr>
          <w:sz w:val="20"/>
          <w:szCs w:val="20"/>
          <w:lang w:val="nl-NL"/>
        </w:rPr>
        <w:t>EOR's</w:t>
      </w:r>
      <w:proofErr w:type="spellEnd"/>
      <w:r w:rsidRPr="0082130B">
        <w:rPr>
          <w:sz w:val="20"/>
          <w:szCs w:val="20"/>
          <w:lang w:val="nl-NL"/>
        </w:rPr>
        <w:t xml:space="preserve"> en transnationale vakbondsnetwerken in onze sectoren ondersteunen om te anticiperen op Covid-19-gerelateerde maatregelen in de multinationale ondernemingen: het handhaven van veiligheids- en gezondheidsnormen over de grenzen heen, een gecoördineerde vakbondsreactie op de verwachte herstructureringsgolf als gevolg van COVID-19 en het voorkomen van massale ontslagen staan boven aan de agenda.</w:t>
      </w:r>
    </w:p>
    <w:p w14:paraId="3148E8D9" w14:textId="0D6DBF00" w:rsidR="00401825" w:rsidRPr="0082130B" w:rsidRDefault="009B4F06" w:rsidP="003370A1">
      <w:pPr>
        <w:pStyle w:val="ListParagraph"/>
        <w:numPr>
          <w:ilvl w:val="0"/>
          <w:numId w:val="3"/>
        </w:numPr>
        <w:jc w:val="both"/>
        <w:rPr>
          <w:sz w:val="20"/>
          <w:szCs w:val="20"/>
          <w:lang w:val="nl-NL"/>
        </w:rPr>
      </w:pPr>
      <w:r w:rsidRPr="0082130B">
        <w:rPr>
          <w:sz w:val="20"/>
          <w:szCs w:val="20"/>
          <w:lang w:val="nl-NL"/>
        </w:rPr>
        <w:t>Samen met de Europese werkgeversfederaties in onze sectoren zullen we contact opnemen met de Europese Commissie om meer financiële steun te vragen voor de sectorale sociale dialoog in onze sectoren op bedrijfs-, sectoraal, nationaal en Europees niveau.</w:t>
      </w:r>
    </w:p>
    <w:p w14:paraId="5519A698" w14:textId="464512BB" w:rsidR="00401825" w:rsidRPr="0082130B" w:rsidRDefault="009B4F06" w:rsidP="003370A1">
      <w:pPr>
        <w:pStyle w:val="ListParagraph"/>
        <w:numPr>
          <w:ilvl w:val="0"/>
          <w:numId w:val="3"/>
        </w:numPr>
        <w:jc w:val="both"/>
        <w:rPr>
          <w:sz w:val="20"/>
          <w:szCs w:val="20"/>
          <w:lang w:val="nl-NL"/>
        </w:rPr>
      </w:pPr>
      <w:r w:rsidRPr="0082130B">
        <w:rPr>
          <w:sz w:val="20"/>
          <w:szCs w:val="20"/>
          <w:lang w:val="nl-NL"/>
        </w:rPr>
        <w:t>Samen met de Europese werkgeversfederaties in onze sectoren zullen we een actieve rol van de Europese sectorale sociale partners eisen in het beheer van de COVID-19-crisis op Europees niveau en in de Europese herlanceringsstrategie daarna.</w:t>
      </w:r>
    </w:p>
    <w:p w14:paraId="54190649" w14:textId="77777777" w:rsidR="00401825" w:rsidRPr="0082130B" w:rsidRDefault="009B4F06" w:rsidP="003370A1">
      <w:pPr>
        <w:pStyle w:val="ListParagraph"/>
        <w:numPr>
          <w:ilvl w:val="0"/>
          <w:numId w:val="3"/>
        </w:numPr>
        <w:jc w:val="both"/>
        <w:rPr>
          <w:sz w:val="20"/>
          <w:szCs w:val="20"/>
          <w:lang w:val="nl-NL"/>
        </w:rPr>
      </w:pPr>
      <w:r w:rsidRPr="0082130B">
        <w:rPr>
          <w:sz w:val="20"/>
          <w:szCs w:val="20"/>
          <w:lang w:val="nl-NL"/>
        </w:rPr>
        <w:t>De arbeidsverhoudingen in de sectoren bouw, hout en meubelindustrie in Midden-, Oost- en Zuidoost-Europa blijven bevorderen en stimuleren.</w:t>
      </w:r>
    </w:p>
    <w:p w14:paraId="5F12FC07" w14:textId="77777777" w:rsidR="00401825" w:rsidRPr="0082130B" w:rsidRDefault="00401825" w:rsidP="003370A1">
      <w:pPr>
        <w:jc w:val="both"/>
        <w:rPr>
          <w:b/>
          <w:sz w:val="20"/>
          <w:szCs w:val="20"/>
          <w:lang w:val="nl-NL"/>
        </w:rPr>
      </w:pPr>
    </w:p>
    <w:p w14:paraId="765B8CC1" w14:textId="62EC5E75" w:rsidR="00401825" w:rsidRPr="0082130B" w:rsidRDefault="009B4F06" w:rsidP="003370A1">
      <w:pPr>
        <w:jc w:val="both"/>
        <w:rPr>
          <w:b/>
          <w:color w:val="7F7F7F" w:themeColor="text1" w:themeTint="80"/>
          <w:sz w:val="24"/>
          <w:szCs w:val="28"/>
          <w:lang w:val="nl-NL"/>
        </w:rPr>
      </w:pPr>
      <w:r w:rsidRPr="0082130B">
        <w:rPr>
          <w:b/>
          <w:bCs/>
          <w:color w:val="7F7F7F" w:themeColor="text1" w:themeTint="80"/>
          <w:sz w:val="24"/>
          <w:szCs w:val="28"/>
          <w:lang w:val="nl-NL"/>
        </w:rPr>
        <w:t>Economische herlancering van onze sectoren</w:t>
      </w:r>
    </w:p>
    <w:p w14:paraId="3133BDC0" w14:textId="20F09622" w:rsidR="00401825" w:rsidRPr="0082130B" w:rsidRDefault="009B4F06" w:rsidP="003370A1">
      <w:pPr>
        <w:jc w:val="both"/>
        <w:rPr>
          <w:b/>
          <w:sz w:val="20"/>
          <w:szCs w:val="20"/>
          <w:lang w:val="nl-NL"/>
        </w:rPr>
      </w:pPr>
      <w:r w:rsidRPr="0082130B">
        <w:rPr>
          <w:b/>
          <w:bCs/>
          <w:sz w:val="20"/>
          <w:szCs w:val="20"/>
          <w:lang w:val="nl-NL"/>
        </w:rPr>
        <w:t xml:space="preserve">We kunnen na deze crisis niet teruggaan naar "business as </w:t>
      </w:r>
      <w:proofErr w:type="spellStart"/>
      <w:r w:rsidRPr="0082130B">
        <w:rPr>
          <w:b/>
          <w:bCs/>
          <w:sz w:val="20"/>
          <w:szCs w:val="20"/>
          <w:lang w:val="nl-NL"/>
        </w:rPr>
        <w:t>usual</w:t>
      </w:r>
      <w:proofErr w:type="spellEnd"/>
      <w:r w:rsidRPr="0082130B">
        <w:rPr>
          <w:b/>
          <w:bCs/>
          <w:sz w:val="20"/>
          <w:szCs w:val="20"/>
          <w:lang w:val="nl-NL"/>
        </w:rPr>
        <w:t>".</w:t>
      </w:r>
      <w:r w:rsidRPr="0082130B">
        <w:rPr>
          <w:sz w:val="20"/>
          <w:szCs w:val="20"/>
          <w:lang w:val="nl-NL"/>
        </w:rPr>
        <w:t xml:space="preserve"> </w:t>
      </w:r>
      <w:r w:rsidRPr="0082130B">
        <w:rPr>
          <w:b/>
          <w:bCs/>
          <w:sz w:val="20"/>
          <w:szCs w:val="20"/>
          <w:lang w:val="nl-NL"/>
        </w:rPr>
        <w:t>We willen een paradigmaverschuiving naar een economische rationaliteit die gebaseerd is op duurzame investeringen voor economische stabiliteit en sociale cohesie. Bestaande bedrijfsmodellen die gebaseerd zijn op precair werk, sociaal misbruik en fraude moeten worden losgelaten. We willen duurzame banen en bedrijven. De werknemersorganisaties moeten worden betrokken bij het ontwerp en de implementatie van nieuwe industriële modellen voor al onze sectoren. De Europese Green Deal zou een uitgangspunt moeten zijn voor de economische heropleving en een rechtvaardige transitie van onze sectoren.</w:t>
      </w:r>
      <w:r w:rsidRPr="0082130B">
        <w:rPr>
          <w:sz w:val="20"/>
          <w:szCs w:val="20"/>
          <w:lang w:val="nl-NL"/>
        </w:rPr>
        <w:t xml:space="preserve"> </w:t>
      </w:r>
      <w:r w:rsidRPr="0082130B">
        <w:rPr>
          <w:b/>
          <w:bCs/>
          <w:sz w:val="20"/>
          <w:szCs w:val="20"/>
          <w:lang w:val="nl-NL"/>
        </w:rPr>
        <w:t>De herlancering van onze sectoren moet gebaseerd zijn op sociale vooruitgang.</w:t>
      </w:r>
    </w:p>
    <w:p w14:paraId="29034F7C" w14:textId="77777777" w:rsidR="00401825" w:rsidRPr="0082130B" w:rsidRDefault="009B4F06" w:rsidP="003370A1">
      <w:pPr>
        <w:jc w:val="both"/>
        <w:rPr>
          <w:b/>
          <w:i/>
          <w:sz w:val="20"/>
          <w:szCs w:val="20"/>
          <w:lang w:val="nl-NL"/>
        </w:rPr>
      </w:pPr>
      <w:r w:rsidRPr="0082130B">
        <w:rPr>
          <w:b/>
          <w:bCs/>
          <w:i/>
          <w:iCs/>
          <w:sz w:val="20"/>
          <w:szCs w:val="20"/>
          <w:lang w:val="nl-NL"/>
        </w:rPr>
        <w:t>Wat we eisen:</w:t>
      </w:r>
    </w:p>
    <w:p w14:paraId="7F0D0EA0" w14:textId="48BC51D8" w:rsidR="00401825" w:rsidRPr="0082130B" w:rsidRDefault="009B4F06" w:rsidP="003370A1">
      <w:pPr>
        <w:pStyle w:val="ListParagraph"/>
        <w:numPr>
          <w:ilvl w:val="0"/>
          <w:numId w:val="3"/>
        </w:numPr>
        <w:jc w:val="both"/>
        <w:rPr>
          <w:sz w:val="20"/>
          <w:szCs w:val="20"/>
          <w:lang w:val="nl-NL"/>
        </w:rPr>
      </w:pPr>
      <w:r w:rsidRPr="0082130B">
        <w:rPr>
          <w:sz w:val="20"/>
          <w:szCs w:val="20"/>
          <w:lang w:val="nl-NL"/>
        </w:rPr>
        <w:t>Een ambitieus investeringsplan voor nieuwe Europese infrastructuur en voor het actualiseren en onderhouden van bestaande infrastructuur.</w:t>
      </w:r>
    </w:p>
    <w:p w14:paraId="32F71460" w14:textId="77777777" w:rsidR="00340FFE" w:rsidRPr="0082130B" w:rsidRDefault="009B4F06" w:rsidP="003370A1">
      <w:pPr>
        <w:pStyle w:val="ListParagraph"/>
        <w:numPr>
          <w:ilvl w:val="0"/>
          <w:numId w:val="3"/>
        </w:numPr>
        <w:jc w:val="both"/>
        <w:rPr>
          <w:sz w:val="20"/>
          <w:szCs w:val="20"/>
          <w:lang w:val="nl-NL"/>
        </w:rPr>
      </w:pPr>
      <w:r w:rsidRPr="0082130B">
        <w:rPr>
          <w:sz w:val="20"/>
          <w:szCs w:val="20"/>
          <w:lang w:val="nl-NL"/>
        </w:rPr>
        <w:t>Een versnelde start van de renovatiegolf met specifieke aandacht voor betaalbare woningen en initiatieven ter bestrijding van energiearmoede.</w:t>
      </w:r>
    </w:p>
    <w:p w14:paraId="4BD57147" w14:textId="7B9CADD9" w:rsidR="00340FFE" w:rsidRPr="0082130B" w:rsidRDefault="009B4F06" w:rsidP="003370A1">
      <w:pPr>
        <w:pStyle w:val="ListParagraph"/>
        <w:numPr>
          <w:ilvl w:val="0"/>
          <w:numId w:val="3"/>
        </w:numPr>
        <w:jc w:val="both"/>
        <w:rPr>
          <w:sz w:val="20"/>
          <w:szCs w:val="20"/>
          <w:lang w:val="nl-NL"/>
        </w:rPr>
      </w:pPr>
      <w:r w:rsidRPr="0082130B">
        <w:rPr>
          <w:sz w:val="20"/>
          <w:szCs w:val="20"/>
          <w:lang w:val="nl-NL"/>
        </w:rPr>
        <w:t>Een ambitieuze, sociale Europese Green Deal gekoppeld aan een goed gefinancierde COVID-19-herstelstrategie, ontworpen als een rechtvaardig overgangsinstrument ten behoeve van de werknemers in al onze bedrijfstakken, met name de meer energie-intensieve sectoren.</w:t>
      </w:r>
    </w:p>
    <w:p w14:paraId="566798CB" w14:textId="44C64AA1" w:rsidR="000F7966" w:rsidRPr="0082130B" w:rsidRDefault="009B4F06" w:rsidP="003370A1">
      <w:pPr>
        <w:pStyle w:val="ListParagraph"/>
        <w:numPr>
          <w:ilvl w:val="0"/>
          <w:numId w:val="3"/>
        </w:numPr>
        <w:jc w:val="both"/>
        <w:rPr>
          <w:sz w:val="20"/>
          <w:szCs w:val="20"/>
          <w:lang w:val="nl-NL"/>
        </w:rPr>
      </w:pPr>
      <w:r w:rsidRPr="0082130B">
        <w:rPr>
          <w:sz w:val="20"/>
          <w:szCs w:val="20"/>
          <w:lang w:val="nl-NL"/>
        </w:rPr>
        <w:t>Alle openbare en particuliere investeringen die in het kader van de herstelmaatregelen worden gedaan, moeten tot directe werkgelegenheid en stabiele banen opleveren.</w:t>
      </w:r>
    </w:p>
    <w:p w14:paraId="5F5D8214" w14:textId="77777777" w:rsidR="00401825" w:rsidRPr="0082130B" w:rsidRDefault="009B4F06" w:rsidP="003370A1">
      <w:pPr>
        <w:jc w:val="both"/>
        <w:rPr>
          <w:b/>
          <w:i/>
          <w:sz w:val="20"/>
          <w:szCs w:val="20"/>
          <w:lang w:val="nl-NL"/>
        </w:rPr>
      </w:pPr>
      <w:r w:rsidRPr="0082130B">
        <w:rPr>
          <w:b/>
          <w:bCs/>
          <w:i/>
          <w:iCs/>
          <w:sz w:val="20"/>
          <w:szCs w:val="20"/>
          <w:lang w:val="nl-NL"/>
        </w:rPr>
        <w:t>Wat we zullen doen:</w:t>
      </w:r>
    </w:p>
    <w:p w14:paraId="21542D68" w14:textId="77777777" w:rsidR="00401825" w:rsidRPr="0082130B" w:rsidRDefault="009B4F06" w:rsidP="003370A1">
      <w:pPr>
        <w:pStyle w:val="ListParagraph"/>
        <w:numPr>
          <w:ilvl w:val="0"/>
          <w:numId w:val="3"/>
        </w:numPr>
        <w:jc w:val="both"/>
        <w:rPr>
          <w:sz w:val="20"/>
          <w:szCs w:val="20"/>
          <w:lang w:val="nl-NL"/>
        </w:rPr>
      </w:pPr>
      <w:r w:rsidRPr="0082130B">
        <w:rPr>
          <w:sz w:val="20"/>
          <w:szCs w:val="20"/>
          <w:lang w:val="nl-NL"/>
        </w:rPr>
        <w:t>De EGD-standpuntnota goedkeuren en lobbyen voor een ambitieuze en sociale Green Deal om een rechtvaardige transitie naar een koolstofneutraal Europa in 2050 te realiseren.</w:t>
      </w:r>
    </w:p>
    <w:p w14:paraId="355EB717" w14:textId="0629D271" w:rsidR="00401825" w:rsidRPr="0082130B" w:rsidRDefault="009B4F06" w:rsidP="003370A1">
      <w:pPr>
        <w:pStyle w:val="ListParagraph"/>
        <w:numPr>
          <w:ilvl w:val="0"/>
          <w:numId w:val="3"/>
        </w:numPr>
        <w:jc w:val="both"/>
        <w:rPr>
          <w:sz w:val="20"/>
          <w:szCs w:val="20"/>
          <w:lang w:val="nl-NL"/>
        </w:rPr>
      </w:pPr>
      <w:r w:rsidRPr="0082130B">
        <w:rPr>
          <w:sz w:val="20"/>
          <w:szCs w:val="20"/>
          <w:lang w:val="nl-NL"/>
        </w:rPr>
        <w:t xml:space="preserve">Actief deelnemen aan de </w:t>
      </w:r>
      <w:proofErr w:type="spellStart"/>
      <w:r w:rsidRPr="0082130B">
        <w:rPr>
          <w:sz w:val="20"/>
          <w:szCs w:val="20"/>
          <w:lang w:val="nl-NL"/>
        </w:rPr>
        <w:t>Renovate</w:t>
      </w:r>
      <w:proofErr w:type="spellEnd"/>
      <w:r w:rsidRPr="0082130B">
        <w:rPr>
          <w:sz w:val="20"/>
          <w:szCs w:val="20"/>
          <w:lang w:val="nl-NL"/>
        </w:rPr>
        <w:t xml:space="preserve"> Europe-alliantie en lobbyen voor een versnelling van het renovatietempo in de lidstaten.</w:t>
      </w:r>
    </w:p>
    <w:p w14:paraId="0DA2ABB3" w14:textId="0D7AE543" w:rsidR="00401825" w:rsidRPr="0082130B" w:rsidRDefault="009B4F06" w:rsidP="003370A1">
      <w:pPr>
        <w:pStyle w:val="ListParagraph"/>
        <w:numPr>
          <w:ilvl w:val="0"/>
          <w:numId w:val="3"/>
        </w:numPr>
        <w:jc w:val="both"/>
        <w:rPr>
          <w:sz w:val="20"/>
          <w:szCs w:val="20"/>
          <w:lang w:val="nl-NL"/>
        </w:rPr>
      </w:pPr>
      <w:r w:rsidRPr="0082130B">
        <w:rPr>
          <w:sz w:val="20"/>
          <w:szCs w:val="20"/>
          <w:lang w:val="nl-NL"/>
        </w:rPr>
        <w:t>De Cao-werkgroep van het Permanent Comité Bouw belasten met het opstellen van een inclusief en ambitieus beleidsdocument over de toekomst van het werk in de bouwsector.</w:t>
      </w:r>
    </w:p>
    <w:p w14:paraId="34A1AA4D" w14:textId="77777777" w:rsidR="00401825" w:rsidRPr="0082130B" w:rsidRDefault="009B4F06" w:rsidP="003370A1">
      <w:pPr>
        <w:pStyle w:val="ListParagraph"/>
        <w:numPr>
          <w:ilvl w:val="0"/>
          <w:numId w:val="3"/>
        </w:numPr>
        <w:jc w:val="both"/>
        <w:rPr>
          <w:sz w:val="20"/>
          <w:szCs w:val="20"/>
          <w:lang w:val="nl-NL"/>
        </w:rPr>
      </w:pPr>
      <w:r w:rsidRPr="0082130B">
        <w:rPr>
          <w:sz w:val="20"/>
          <w:szCs w:val="20"/>
          <w:lang w:val="nl-NL"/>
        </w:rPr>
        <w:t>De uitdagingen van de digitalisering bespreken tijdens een speciale vergadering van het Europees Comité voor de sectorale sociale dialoog in de bouwsector.</w:t>
      </w:r>
    </w:p>
    <w:p w14:paraId="7F02CE79" w14:textId="77777777" w:rsidR="0082130B" w:rsidRPr="0082130B" w:rsidRDefault="0082130B">
      <w:pPr>
        <w:spacing w:after="0" w:line="240" w:lineRule="auto"/>
        <w:rPr>
          <w:sz w:val="20"/>
          <w:szCs w:val="20"/>
          <w:lang w:val="nl-NL"/>
        </w:rPr>
      </w:pPr>
      <w:r w:rsidRPr="0082130B">
        <w:rPr>
          <w:sz w:val="20"/>
          <w:szCs w:val="20"/>
          <w:lang w:val="nl-NL"/>
        </w:rPr>
        <w:br w:type="page"/>
      </w:r>
    </w:p>
    <w:p w14:paraId="390F0F42" w14:textId="3EB9F543" w:rsidR="00401825" w:rsidRPr="0082130B" w:rsidRDefault="009B4F06" w:rsidP="003370A1">
      <w:pPr>
        <w:pStyle w:val="ListParagraph"/>
        <w:numPr>
          <w:ilvl w:val="0"/>
          <w:numId w:val="3"/>
        </w:numPr>
        <w:jc w:val="both"/>
        <w:rPr>
          <w:sz w:val="20"/>
          <w:szCs w:val="20"/>
          <w:lang w:val="nl-NL"/>
        </w:rPr>
      </w:pPr>
      <w:r w:rsidRPr="0082130B">
        <w:rPr>
          <w:sz w:val="20"/>
          <w:szCs w:val="20"/>
          <w:lang w:val="nl-NL"/>
        </w:rPr>
        <w:lastRenderedPageBreak/>
        <w:t>Een geactualiseerd beleidsdocument presenteren over een vooruitstrevend Europees industriebeleid voor de hout- en bosbouwsector.</w:t>
      </w:r>
    </w:p>
    <w:p w14:paraId="11C9352A" w14:textId="29B7EE92" w:rsidR="00401825" w:rsidRPr="0082130B" w:rsidRDefault="009B4F06" w:rsidP="003370A1">
      <w:pPr>
        <w:pStyle w:val="ListParagraph"/>
        <w:numPr>
          <w:ilvl w:val="0"/>
          <w:numId w:val="3"/>
        </w:numPr>
        <w:jc w:val="both"/>
        <w:rPr>
          <w:sz w:val="20"/>
          <w:szCs w:val="20"/>
          <w:lang w:val="nl-NL"/>
        </w:rPr>
      </w:pPr>
      <w:r w:rsidRPr="0082130B">
        <w:rPr>
          <w:sz w:val="20"/>
          <w:szCs w:val="20"/>
          <w:lang w:val="nl-NL"/>
        </w:rPr>
        <w:t>Samen met het EVI trainingsseminar organiseren voor onze aangesloten bonden over de EGD en de impact van de digitalisering in onze sectoren.</w:t>
      </w:r>
    </w:p>
    <w:p w14:paraId="6F094C18" w14:textId="77777777" w:rsidR="00401825" w:rsidRPr="0082130B" w:rsidRDefault="00401825" w:rsidP="003370A1">
      <w:pPr>
        <w:jc w:val="both"/>
        <w:rPr>
          <w:sz w:val="20"/>
          <w:szCs w:val="20"/>
          <w:lang w:val="nl-NL"/>
        </w:rPr>
      </w:pPr>
    </w:p>
    <w:p w14:paraId="52B92BA1" w14:textId="10481F33" w:rsidR="00401825" w:rsidRPr="0082130B" w:rsidRDefault="009B4F06" w:rsidP="003370A1">
      <w:pPr>
        <w:jc w:val="both"/>
        <w:rPr>
          <w:b/>
          <w:color w:val="7F7F7F" w:themeColor="text1" w:themeTint="80"/>
          <w:sz w:val="24"/>
          <w:szCs w:val="28"/>
          <w:lang w:val="nl-NL"/>
        </w:rPr>
      </w:pPr>
      <w:r w:rsidRPr="0082130B">
        <w:rPr>
          <w:b/>
          <w:bCs/>
          <w:color w:val="7F7F7F" w:themeColor="text1" w:themeTint="80"/>
          <w:sz w:val="24"/>
          <w:szCs w:val="28"/>
          <w:lang w:val="nl-NL"/>
        </w:rPr>
        <w:t>Gelijke behandeling - eerlijke mobiliteit voor alle werknemers</w:t>
      </w:r>
    </w:p>
    <w:p w14:paraId="24CBA385" w14:textId="39E197EF" w:rsidR="00401825" w:rsidRPr="0082130B" w:rsidRDefault="009B4F06" w:rsidP="003370A1">
      <w:pPr>
        <w:jc w:val="both"/>
        <w:rPr>
          <w:b/>
          <w:sz w:val="20"/>
          <w:szCs w:val="20"/>
          <w:lang w:val="nl-NL"/>
        </w:rPr>
      </w:pPr>
      <w:r w:rsidRPr="0082130B">
        <w:rPr>
          <w:b/>
          <w:bCs/>
          <w:sz w:val="20"/>
          <w:szCs w:val="20"/>
          <w:lang w:val="nl-NL"/>
        </w:rPr>
        <w:t xml:space="preserve">De COVID-19-crisis heeft eens te meer de tweedeling van de Europese arbeidsmarkt aangetoond. De toenemende </w:t>
      </w:r>
      <w:proofErr w:type="spellStart"/>
      <w:r w:rsidRPr="0082130B">
        <w:rPr>
          <w:b/>
          <w:bCs/>
          <w:sz w:val="20"/>
          <w:szCs w:val="20"/>
          <w:lang w:val="nl-NL"/>
        </w:rPr>
        <w:t>precarisering</w:t>
      </w:r>
      <w:proofErr w:type="spellEnd"/>
      <w:r w:rsidRPr="0082130B">
        <w:rPr>
          <w:b/>
          <w:bCs/>
          <w:sz w:val="20"/>
          <w:szCs w:val="20"/>
          <w:lang w:val="nl-NL"/>
        </w:rPr>
        <w:t xml:space="preserve"> in onze sectoren heeft in deze crisis haar meest lelijke kant laten zien. Er is een groeiend aantal gedetacheerde werknemers, schijnzelfstandigen, </w:t>
      </w:r>
      <w:proofErr w:type="spellStart"/>
      <w:r w:rsidRPr="0082130B">
        <w:rPr>
          <w:b/>
          <w:bCs/>
          <w:sz w:val="20"/>
          <w:szCs w:val="20"/>
          <w:lang w:val="nl-NL"/>
        </w:rPr>
        <w:t>nuluurcontracten</w:t>
      </w:r>
      <w:proofErr w:type="spellEnd"/>
      <w:r w:rsidRPr="0082130B">
        <w:rPr>
          <w:b/>
          <w:bCs/>
          <w:sz w:val="20"/>
          <w:szCs w:val="20"/>
          <w:lang w:val="nl-NL"/>
        </w:rPr>
        <w:t xml:space="preserve">, oproepcontracten, uitzendkrachten, mini-jobs en freelancers. Het grondbeginsel van "gelijk loon voor gelijk werk op dezelfde werkplek" geldt niet voor veel werknemers met precaire arbeidsomstandigheden. En de zogenaamde coördinatie van de socialezekerheidsstelsels bleek voor veel gedetacheerde werknemers fictie te zijn. Gedetacheerde werknemers werken en wonen vaak op plaatsen waar geen </w:t>
      </w:r>
      <w:proofErr w:type="spellStart"/>
      <w:r w:rsidRPr="0082130B">
        <w:rPr>
          <w:b/>
          <w:bCs/>
          <w:sz w:val="20"/>
          <w:szCs w:val="20"/>
          <w:lang w:val="nl-NL"/>
        </w:rPr>
        <w:t>social</w:t>
      </w:r>
      <w:proofErr w:type="spellEnd"/>
      <w:r w:rsidRPr="0082130B">
        <w:rPr>
          <w:b/>
          <w:bCs/>
          <w:sz w:val="20"/>
          <w:szCs w:val="20"/>
          <w:lang w:val="nl-NL"/>
        </w:rPr>
        <w:t xml:space="preserve"> </w:t>
      </w:r>
      <w:proofErr w:type="spellStart"/>
      <w:r w:rsidRPr="0082130B">
        <w:rPr>
          <w:b/>
          <w:bCs/>
          <w:sz w:val="20"/>
          <w:szCs w:val="20"/>
          <w:lang w:val="nl-NL"/>
        </w:rPr>
        <w:t>distancing</w:t>
      </w:r>
      <w:proofErr w:type="spellEnd"/>
      <w:r w:rsidRPr="0082130B">
        <w:rPr>
          <w:b/>
          <w:bCs/>
          <w:sz w:val="20"/>
          <w:szCs w:val="20"/>
          <w:lang w:val="nl-NL"/>
        </w:rPr>
        <w:t xml:space="preserve"> mogelijk is. Sommigen worden in volgepropte bussen naar huis gestuurd, anderen konden niet werken omdat ze in </w:t>
      </w:r>
      <w:proofErr w:type="spellStart"/>
      <w:r w:rsidRPr="0082130B">
        <w:rPr>
          <w:b/>
          <w:bCs/>
          <w:sz w:val="20"/>
          <w:szCs w:val="20"/>
          <w:lang w:val="nl-NL"/>
        </w:rPr>
        <w:t>lockdown</w:t>
      </w:r>
      <w:proofErr w:type="spellEnd"/>
      <w:r w:rsidRPr="0082130B">
        <w:rPr>
          <w:b/>
          <w:bCs/>
          <w:sz w:val="20"/>
          <w:szCs w:val="20"/>
          <w:lang w:val="nl-NL"/>
        </w:rPr>
        <w:t xml:space="preserve"> moesten blijven.</w:t>
      </w:r>
      <w:r w:rsidRPr="0082130B">
        <w:rPr>
          <w:sz w:val="20"/>
          <w:szCs w:val="20"/>
          <w:lang w:val="nl-NL"/>
        </w:rPr>
        <w:t xml:space="preserve"> </w:t>
      </w:r>
      <w:r w:rsidRPr="0082130B">
        <w:rPr>
          <w:b/>
          <w:bCs/>
          <w:sz w:val="20"/>
          <w:szCs w:val="20"/>
          <w:lang w:val="nl-NL"/>
        </w:rPr>
        <w:t xml:space="preserve">Isolatie en </w:t>
      </w:r>
      <w:proofErr w:type="spellStart"/>
      <w:r w:rsidRPr="0082130B">
        <w:rPr>
          <w:b/>
          <w:bCs/>
          <w:sz w:val="20"/>
          <w:szCs w:val="20"/>
          <w:lang w:val="nl-NL"/>
        </w:rPr>
        <w:t>precarisering</w:t>
      </w:r>
      <w:proofErr w:type="spellEnd"/>
      <w:r w:rsidRPr="0082130B">
        <w:rPr>
          <w:b/>
          <w:bCs/>
          <w:sz w:val="20"/>
          <w:szCs w:val="20"/>
          <w:lang w:val="nl-NL"/>
        </w:rPr>
        <w:t>, het gebrek aan transparantie en de zeer beperkte toegang tot informatie, raadpleging en bijstand, en de verminderde inspecties maken deel uit van hun realiteit. Dit is volstrekt onaanvaardbaar. Wij eisen een volledige gelijke behandeling en een sterke sociale bescherming voor alle werknemers.</w:t>
      </w:r>
    </w:p>
    <w:p w14:paraId="334CEB9A" w14:textId="77777777" w:rsidR="00401825" w:rsidRPr="0082130B" w:rsidRDefault="009B4F06" w:rsidP="003370A1">
      <w:pPr>
        <w:jc w:val="both"/>
        <w:rPr>
          <w:b/>
          <w:i/>
          <w:sz w:val="20"/>
          <w:szCs w:val="20"/>
          <w:lang w:val="nl-NL"/>
        </w:rPr>
      </w:pPr>
      <w:r w:rsidRPr="0082130B">
        <w:rPr>
          <w:b/>
          <w:bCs/>
          <w:i/>
          <w:iCs/>
          <w:sz w:val="20"/>
          <w:szCs w:val="20"/>
          <w:lang w:val="nl-NL"/>
        </w:rPr>
        <w:t>Wat we eisen:</w:t>
      </w:r>
    </w:p>
    <w:p w14:paraId="28F734F5" w14:textId="77777777" w:rsidR="00401825" w:rsidRPr="0082130B" w:rsidRDefault="009B4F06" w:rsidP="003370A1">
      <w:pPr>
        <w:pStyle w:val="ListParagraph"/>
        <w:numPr>
          <w:ilvl w:val="0"/>
          <w:numId w:val="2"/>
        </w:numPr>
        <w:jc w:val="both"/>
        <w:rPr>
          <w:sz w:val="20"/>
          <w:szCs w:val="20"/>
          <w:lang w:val="nl-NL"/>
        </w:rPr>
      </w:pPr>
      <w:r w:rsidRPr="0082130B">
        <w:rPr>
          <w:sz w:val="20"/>
          <w:szCs w:val="20"/>
          <w:lang w:val="nl-NL"/>
        </w:rPr>
        <w:t>Versterkte nationale kortlopende werkregelingen die inclusief en adequaat moeten zijn en zo lang als nodig is, beschikbaar moeten zijn. Op EU-niveau moet SURE zo snel mogelijk en met de steun van alle lidstaten worden aangenomen en uitgevoerd. In een tweede fase moet de Commissie het voorstel voor het Europees herverzekeringsstelsel voor werkloosheid snel invoeren.</w:t>
      </w:r>
    </w:p>
    <w:p w14:paraId="2EB775D2" w14:textId="77777777" w:rsidR="00401825" w:rsidRPr="0082130B" w:rsidRDefault="009B4F06" w:rsidP="003370A1">
      <w:pPr>
        <w:pStyle w:val="ListParagraph"/>
        <w:numPr>
          <w:ilvl w:val="0"/>
          <w:numId w:val="2"/>
        </w:numPr>
        <w:jc w:val="both"/>
        <w:rPr>
          <w:sz w:val="20"/>
          <w:szCs w:val="20"/>
          <w:lang w:val="nl-NL"/>
        </w:rPr>
      </w:pPr>
      <w:r w:rsidRPr="0082130B">
        <w:rPr>
          <w:sz w:val="20"/>
          <w:szCs w:val="20"/>
          <w:lang w:val="nl-NL"/>
        </w:rPr>
        <w:t>Een snelle tenuitvoerlegging van de Richtlijn betreffende transparante en voorspelbare arbeidsvoorwaarden (2019/1152) om ervoor te zorgen dat alle werknemers recht hebben op goede informatie over hun loon, arbeidsomstandigheden, gezondheids- en veiligheidsnormen, normen voor beroepsopleiding en alle andere rechten van werknemers op het gebied van informatie, raadpleging, organisatie en arbeidsconflicten.</w:t>
      </w:r>
    </w:p>
    <w:p w14:paraId="4F2FB275" w14:textId="1E8E6C57" w:rsidR="00401825" w:rsidRPr="0082130B" w:rsidRDefault="009B4F06" w:rsidP="003370A1">
      <w:pPr>
        <w:pStyle w:val="ListParagraph"/>
        <w:numPr>
          <w:ilvl w:val="0"/>
          <w:numId w:val="2"/>
        </w:numPr>
        <w:jc w:val="both"/>
        <w:rPr>
          <w:sz w:val="20"/>
          <w:szCs w:val="20"/>
          <w:lang w:val="nl-NL"/>
        </w:rPr>
      </w:pPr>
      <w:r w:rsidRPr="0082130B">
        <w:rPr>
          <w:sz w:val="20"/>
          <w:szCs w:val="20"/>
          <w:lang w:val="nl-NL"/>
        </w:rPr>
        <w:t>Strengere maatregelen tegen zwartwerk en inkomensbescherming voor werknemers in de zwartwerkeconomie, die geen toegang hebben tot steunregelingen om te voorkomen dat deze werknemers in armoede worden geduwd of gedwongen worden om in zeer onveilige en ongezonde omstandigheden te werken.</w:t>
      </w:r>
    </w:p>
    <w:p w14:paraId="73DE230B" w14:textId="58DF0824" w:rsidR="00401825" w:rsidRPr="0082130B" w:rsidRDefault="009B4F06" w:rsidP="003370A1">
      <w:pPr>
        <w:pStyle w:val="ListParagraph"/>
        <w:numPr>
          <w:ilvl w:val="0"/>
          <w:numId w:val="2"/>
        </w:numPr>
        <w:jc w:val="both"/>
        <w:rPr>
          <w:sz w:val="20"/>
          <w:szCs w:val="20"/>
          <w:lang w:val="nl-NL"/>
        </w:rPr>
      </w:pPr>
      <w:r w:rsidRPr="0082130B">
        <w:rPr>
          <w:sz w:val="20"/>
          <w:szCs w:val="20"/>
          <w:lang w:val="nl-NL"/>
        </w:rPr>
        <w:t>De ambitieuze en snelle omzetting van de Detacheringsrichtlijn (PWD) in alle lidstaten met de actieve betrokkenheid van de (sectorale) vakbonden.</w:t>
      </w:r>
    </w:p>
    <w:p w14:paraId="2BF35675" w14:textId="77777777" w:rsidR="00401825" w:rsidRPr="0082130B" w:rsidRDefault="009B4F06" w:rsidP="003370A1">
      <w:pPr>
        <w:pStyle w:val="ListParagraph"/>
        <w:numPr>
          <w:ilvl w:val="0"/>
          <w:numId w:val="2"/>
        </w:numPr>
        <w:jc w:val="both"/>
        <w:rPr>
          <w:sz w:val="20"/>
          <w:szCs w:val="20"/>
          <w:lang w:val="nl-NL"/>
        </w:rPr>
      </w:pPr>
      <w:r w:rsidRPr="0082130B">
        <w:rPr>
          <w:sz w:val="20"/>
          <w:szCs w:val="20"/>
          <w:lang w:val="nl-NL"/>
        </w:rPr>
        <w:t>Dringende initiatieven om de veiligheid en gezondheid op het werk voor gedetacheerde werknemers te verhogen, rekening houdend met hun specifieke werk- en leefomstandigheden.</w:t>
      </w:r>
    </w:p>
    <w:p w14:paraId="31488AEA" w14:textId="7F48324D" w:rsidR="00401825" w:rsidRPr="0082130B" w:rsidRDefault="009B4F06" w:rsidP="003370A1">
      <w:pPr>
        <w:pStyle w:val="ListParagraph"/>
        <w:numPr>
          <w:ilvl w:val="0"/>
          <w:numId w:val="2"/>
        </w:numPr>
        <w:jc w:val="both"/>
        <w:rPr>
          <w:sz w:val="20"/>
          <w:szCs w:val="20"/>
          <w:lang w:val="nl-NL"/>
        </w:rPr>
      </w:pPr>
      <w:r w:rsidRPr="0082130B">
        <w:rPr>
          <w:sz w:val="20"/>
          <w:szCs w:val="20"/>
          <w:lang w:val="nl-NL"/>
        </w:rPr>
        <w:t>De detachering van werknemers alleen toestaan in een strikt gecontroleerde en gehandhaafde omgeving, op basis van gelijke rechten voor werknemers en duidelijke verplichtingen voor de bedrijven.</w:t>
      </w:r>
    </w:p>
    <w:p w14:paraId="470606A1" w14:textId="77777777" w:rsidR="003370A1" w:rsidRPr="0082130B" w:rsidRDefault="009B4F06" w:rsidP="003370A1">
      <w:pPr>
        <w:pStyle w:val="ListParagraph"/>
        <w:numPr>
          <w:ilvl w:val="0"/>
          <w:numId w:val="2"/>
        </w:numPr>
        <w:jc w:val="both"/>
        <w:rPr>
          <w:sz w:val="20"/>
          <w:szCs w:val="20"/>
          <w:lang w:val="nl-NL"/>
        </w:rPr>
      </w:pPr>
      <w:r w:rsidRPr="0082130B">
        <w:rPr>
          <w:sz w:val="20"/>
          <w:szCs w:val="20"/>
          <w:lang w:val="nl-NL"/>
        </w:rPr>
        <w:t>Nieuwe verduidelijkingen en handhavingsinstrumenten om ervoor te zorgen dat detachering slechts een uitzonderlijke tijdelijke activiteit is, zoals voorzien in de PWD.</w:t>
      </w:r>
    </w:p>
    <w:p w14:paraId="4D391D3D" w14:textId="0FBEC364" w:rsidR="00401825" w:rsidRPr="0082130B" w:rsidRDefault="009B4F06" w:rsidP="003370A1">
      <w:pPr>
        <w:pStyle w:val="ListParagraph"/>
        <w:numPr>
          <w:ilvl w:val="0"/>
          <w:numId w:val="2"/>
        </w:numPr>
        <w:jc w:val="both"/>
        <w:rPr>
          <w:sz w:val="20"/>
          <w:szCs w:val="20"/>
          <w:lang w:val="nl-NL"/>
        </w:rPr>
      </w:pPr>
      <w:r w:rsidRPr="0082130B">
        <w:rPr>
          <w:sz w:val="20"/>
          <w:szCs w:val="20"/>
          <w:lang w:val="nl-NL"/>
        </w:rPr>
        <w:t>Het verbod om detachering via tussenpersonen, zoals uitzendbureaus, te organiseren.</w:t>
      </w:r>
    </w:p>
    <w:p w14:paraId="23238354" w14:textId="245A79EB" w:rsidR="00401825" w:rsidRPr="0082130B" w:rsidRDefault="009B4F06" w:rsidP="003370A1">
      <w:pPr>
        <w:pStyle w:val="ListParagraph"/>
        <w:numPr>
          <w:ilvl w:val="0"/>
          <w:numId w:val="2"/>
        </w:numPr>
        <w:jc w:val="both"/>
        <w:rPr>
          <w:sz w:val="20"/>
          <w:szCs w:val="20"/>
          <w:lang w:val="nl-NL"/>
        </w:rPr>
      </w:pPr>
      <w:r w:rsidRPr="0082130B">
        <w:rPr>
          <w:sz w:val="20"/>
          <w:szCs w:val="20"/>
          <w:lang w:val="nl-NL"/>
        </w:rPr>
        <w:t>Een verbeterd Europees systeem van grensoverschrijdende sociale zekerheid met betere informatie en betere controle- en handhavingsinstrumenten om een betere sociale bescherming te bieden en grensoverschrijdende sociale fraude te bestrijden.</w:t>
      </w:r>
    </w:p>
    <w:p w14:paraId="24720303" w14:textId="77777777" w:rsidR="00401825" w:rsidRPr="0082130B" w:rsidRDefault="009B4F06" w:rsidP="003370A1">
      <w:pPr>
        <w:pStyle w:val="ListParagraph"/>
        <w:numPr>
          <w:ilvl w:val="0"/>
          <w:numId w:val="2"/>
        </w:numPr>
        <w:jc w:val="both"/>
        <w:rPr>
          <w:sz w:val="20"/>
          <w:szCs w:val="20"/>
          <w:lang w:val="nl-NL"/>
        </w:rPr>
      </w:pPr>
      <w:r w:rsidRPr="0082130B">
        <w:rPr>
          <w:sz w:val="20"/>
          <w:szCs w:val="20"/>
          <w:lang w:val="nl-NL"/>
        </w:rPr>
        <w:t>Een eerlijk Europees grensoverschrijdend arbeidssysteem met optimale samenwerking tussen alle nationale inspectiediensten en vakbonden. De Europese Arbeidsautoriteit (ELA) moet zo snel mogelijk operationeel worden.</w:t>
      </w:r>
    </w:p>
    <w:p w14:paraId="44EA473B" w14:textId="77777777" w:rsidR="00401825" w:rsidRPr="0082130B" w:rsidRDefault="009B4F06" w:rsidP="003370A1">
      <w:pPr>
        <w:pStyle w:val="ListParagraph"/>
        <w:numPr>
          <w:ilvl w:val="0"/>
          <w:numId w:val="2"/>
        </w:numPr>
        <w:jc w:val="both"/>
        <w:rPr>
          <w:sz w:val="20"/>
          <w:szCs w:val="20"/>
          <w:lang w:val="nl-NL"/>
        </w:rPr>
      </w:pPr>
      <w:r w:rsidRPr="0082130B">
        <w:rPr>
          <w:sz w:val="20"/>
          <w:szCs w:val="20"/>
          <w:lang w:val="nl-NL"/>
        </w:rPr>
        <w:t>Een nieuw Europees kader voor fatsoenlijke en kwalitatief hoogstaande arbeidsomstandigheden voor alle werknemers, met bijzondere aandacht voor de bescherming van migrerende werknemers.</w:t>
      </w:r>
    </w:p>
    <w:p w14:paraId="38D1556C" w14:textId="77777777" w:rsidR="0082130B" w:rsidRPr="0082130B" w:rsidRDefault="0082130B">
      <w:pPr>
        <w:spacing w:after="0" w:line="240" w:lineRule="auto"/>
        <w:rPr>
          <w:b/>
          <w:bCs/>
          <w:i/>
          <w:iCs/>
          <w:sz w:val="20"/>
          <w:szCs w:val="20"/>
          <w:lang w:val="nl-NL"/>
        </w:rPr>
      </w:pPr>
      <w:r w:rsidRPr="0082130B">
        <w:rPr>
          <w:b/>
          <w:bCs/>
          <w:i/>
          <w:iCs/>
          <w:sz w:val="20"/>
          <w:szCs w:val="20"/>
          <w:lang w:val="nl-NL"/>
        </w:rPr>
        <w:br w:type="page"/>
      </w:r>
    </w:p>
    <w:p w14:paraId="6ABB84AA" w14:textId="3E03F4C1" w:rsidR="00401825" w:rsidRPr="0082130B" w:rsidRDefault="009B4F06" w:rsidP="003370A1">
      <w:pPr>
        <w:jc w:val="both"/>
        <w:rPr>
          <w:b/>
          <w:i/>
          <w:sz w:val="20"/>
          <w:szCs w:val="20"/>
          <w:lang w:val="nl-NL"/>
        </w:rPr>
      </w:pPr>
      <w:r w:rsidRPr="0082130B">
        <w:rPr>
          <w:b/>
          <w:bCs/>
          <w:i/>
          <w:iCs/>
          <w:sz w:val="20"/>
          <w:szCs w:val="20"/>
          <w:lang w:val="nl-NL"/>
        </w:rPr>
        <w:lastRenderedPageBreak/>
        <w:t>Wat we zullen doen:</w:t>
      </w:r>
    </w:p>
    <w:p w14:paraId="36DD4C9E" w14:textId="77777777" w:rsidR="00401825" w:rsidRPr="0082130B" w:rsidRDefault="009B4F06" w:rsidP="003370A1">
      <w:pPr>
        <w:pStyle w:val="ListParagraph"/>
        <w:numPr>
          <w:ilvl w:val="0"/>
          <w:numId w:val="4"/>
        </w:numPr>
        <w:jc w:val="both"/>
        <w:rPr>
          <w:bCs/>
          <w:iCs/>
          <w:sz w:val="20"/>
          <w:szCs w:val="20"/>
          <w:lang w:val="nl-NL"/>
        </w:rPr>
      </w:pPr>
      <w:r w:rsidRPr="0082130B">
        <w:rPr>
          <w:bCs/>
          <w:iCs/>
          <w:sz w:val="20"/>
          <w:szCs w:val="20"/>
          <w:lang w:val="nl-NL"/>
        </w:rPr>
        <w:t>Een beleidsdocument opstellen om de aangesloten bonden te helpen bij de uitvoering en toepassing van de Richtlijn betreffende transparante en voorspelbare arbeidsvoorwaarden (2019/1152).</w:t>
      </w:r>
    </w:p>
    <w:p w14:paraId="62D12196" w14:textId="77777777" w:rsidR="00401825" w:rsidRPr="0082130B" w:rsidRDefault="009B4F06" w:rsidP="003370A1">
      <w:pPr>
        <w:pStyle w:val="ListParagraph"/>
        <w:numPr>
          <w:ilvl w:val="0"/>
          <w:numId w:val="4"/>
        </w:numPr>
        <w:jc w:val="both"/>
        <w:rPr>
          <w:sz w:val="20"/>
          <w:szCs w:val="20"/>
          <w:lang w:val="nl-NL"/>
        </w:rPr>
      </w:pPr>
      <w:r w:rsidRPr="0082130B">
        <w:rPr>
          <w:sz w:val="20"/>
          <w:szCs w:val="20"/>
          <w:lang w:val="nl-NL"/>
        </w:rPr>
        <w:t>De toepassing en naleving van de detacheringsregels en -praktijken in het licht van de COVID-19-crisis evalueren en aanvullende corrigerende maatregelen voorstellen om de toepassing van tijdelijke grensoverschrijdende detachering in het kader van gelijke behandeling en een adequate preventie, controle en naleving mogelijk te maken.</w:t>
      </w:r>
    </w:p>
    <w:p w14:paraId="0C026FAE" w14:textId="51C6EABF" w:rsidR="00401825" w:rsidRPr="0082130B" w:rsidRDefault="009B4F06" w:rsidP="003370A1">
      <w:pPr>
        <w:pStyle w:val="ListParagraph"/>
        <w:numPr>
          <w:ilvl w:val="0"/>
          <w:numId w:val="4"/>
        </w:numPr>
        <w:jc w:val="both"/>
        <w:rPr>
          <w:sz w:val="20"/>
          <w:szCs w:val="20"/>
          <w:lang w:val="nl-NL"/>
        </w:rPr>
      </w:pPr>
      <w:r w:rsidRPr="0082130B">
        <w:rPr>
          <w:sz w:val="20"/>
          <w:szCs w:val="20"/>
          <w:lang w:val="nl-NL"/>
        </w:rPr>
        <w:t>Een campagne organiseren ter versterking van de gelijke behandeling van alle werknemers, met inbegrip van gelijke beloning en arbeidsvoorwaarden, sociale bescherming en zekerheid, veiligheid en gezondheid, toegang tot beroepsmogelijkheden en gelijke werknemersrechten.</w:t>
      </w:r>
    </w:p>
    <w:p w14:paraId="5483272C" w14:textId="77777777" w:rsidR="00401825" w:rsidRPr="0082130B" w:rsidRDefault="009B4F06" w:rsidP="003370A1">
      <w:pPr>
        <w:pStyle w:val="ListParagraph"/>
        <w:numPr>
          <w:ilvl w:val="0"/>
          <w:numId w:val="4"/>
        </w:numPr>
        <w:jc w:val="both"/>
        <w:rPr>
          <w:sz w:val="20"/>
          <w:szCs w:val="20"/>
          <w:lang w:val="nl-NL"/>
        </w:rPr>
      </w:pPr>
      <w:r w:rsidRPr="0082130B">
        <w:rPr>
          <w:sz w:val="20"/>
          <w:szCs w:val="20"/>
          <w:lang w:val="nl-NL"/>
        </w:rPr>
        <w:t xml:space="preserve">Bij de Europese Commissie lobbyen om de Europese uitwisseling van socialezekerheidsgegevens en de invoering van een Europees </w:t>
      </w:r>
      <w:proofErr w:type="spellStart"/>
      <w:r w:rsidRPr="0082130B">
        <w:rPr>
          <w:sz w:val="20"/>
          <w:szCs w:val="20"/>
          <w:lang w:val="nl-NL"/>
        </w:rPr>
        <w:t>socialezekerheidsnummer</w:t>
      </w:r>
      <w:proofErr w:type="spellEnd"/>
      <w:r w:rsidRPr="0082130B">
        <w:rPr>
          <w:sz w:val="20"/>
          <w:szCs w:val="20"/>
          <w:lang w:val="nl-NL"/>
        </w:rPr>
        <w:t>/kaart te verbeteren.</w:t>
      </w:r>
    </w:p>
    <w:p w14:paraId="4682AF55" w14:textId="57288B69" w:rsidR="00401825" w:rsidRPr="0082130B" w:rsidRDefault="009B4F06" w:rsidP="003370A1">
      <w:pPr>
        <w:pStyle w:val="ListParagraph"/>
        <w:numPr>
          <w:ilvl w:val="0"/>
          <w:numId w:val="4"/>
        </w:numPr>
        <w:jc w:val="both"/>
        <w:rPr>
          <w:sz w:val="20"/>
          <w:szCs w:val="20"/>
          <w:lang w:val="nl-NL"/>
        </w:rPr>
      </w:pPr>
      <w:r w:rsidRPr="0082130B">
        <w:rPr>
          <w:sz w:val="20"/>
          <w:szCs w:val="20"/>
          <w:lang w:val="nl-NL"/>
        </w:rPr>
        <w:t>Lobbyen voor een snelle en ambitieuze herziening van Verordening 883/2004 door de Europese instellingen.</w:t>
      </w:r>
    </w:p>
    <w:p w14:paraId="1E8D1C62" w14:textId="497915CF" w:rsidR="00401825" w:rsidRPr="0082130B" w:rsidRDefault="009B4F06" w:rsidP="003370A1">
      <w:pPr>
        <w:pStyle w:val="ListParagraph"/>
        <w:numPr>
          <w:ilvl w:val="0"/>
          <w:numId w:val="4"/>
        </w:numPr>
        <w:jc w:val="both"/>
        <w:rPr>
          <w:sz w:val="20"/>
          <w:szCs w:val="20"/>
          <w:lang w:val="nl-NL"/>
        </w:rPr>
      </w:pPr>
      <w:r w:rsidRPr="0082130B">
        <w:rPr>
          <w:sz w:val="20"/>
          <w:szCs w:val="20"/>
          <w:lang w:val="nl-NL"/>
        </w:rPr>
        <w:t>ECMIN 4.0 invoeren als een vervolgproject om gedetacheerde werknemers naar behoren te informeren over hun rechten en vakbondsnetwerken verder te ontwikkelen als instrument om gedetacheerde werknemers te ondersteunen bij het afdwingen van deze rechten.</w:t>
      </w:r>
    </w:p>
    <w:p w14:paraId="2686A08A" w14:textId="77777777" w:rsidR="00401825" w:rsidRPr="0082130B" w:rsidRDefault="009B4F06" w:rsidP="003370A1">
      <w:pPr>
        <w:pStyle w:val="ListParagraph"/>
        <w:numPr>
          <w:ilvl w:val="0"/>
          <w:numId w:val="4"/>
        </w:numPr>
        <w:jc w:val="both"/>
        <w:rPr>
          <w:sz w:val="20"/>
          <w:szCs w:val="20"/>
          <w:lang w:val="nl-NL"/>
        </w:rPr>
      </w:pPr>
      <w:r w:rsidRPr="0082130B">
        <w:rPr>
          <w:sz w:val="20"/>
          <w:szCs w:val="20"/>
          <w:lang w:val="nl-NL"/>
        </w:rPr>
        <w:t xml:space="preserve">Via het Permanent Comité Bouw en het Uitvoerend Bestuur onze beleidsdocumenten actualiseren met voorstellen om zwartwerk en alle vormen van grensoverschrijdende </w:t>
      </w:r>
      <w:proofErr w:type="spellStart"/>
      <w:r w:rsidRPr="0082130B">
        <w:rPr>
          <w:sz w:val="20"/>
          <w:szCs w:val="20"/>
          <w:lang w:val="nl-NL"/>
        </w:rPr>
        <w:t>socialezekerheidsfraude</w:t>
      </w:r>
      <w:proofErr w:type="spellEnd"/>
      <w:r w:rsidRPr="0082130B">
        <w:rPr>
          <w:sz w:val="20"/>
          <w:szCs w:val="20"/>
          <w:lang w:val="nl-NL"/>
        </w:rPr>
        <w:t xml:space="preserve"> en -misbruik te bestrijden. De Strategische Groep zal een ontwerpdocument opstellen.</w:t>
      </w:r>
    </w:p>
    <w:p w14:paraId="15C985CF" w14:textId="454677CC" w:rsidR="00401825" w:rsidRPr="0082130B" w:rsidRDefault="009B4F06" w:rsidP="003370A1">
      <w:pPr>
        <w:pStyle w:val="ListParagraph"/>
        <w:numPr>
          <w:ilvl w:val="0"/>
          <w:numId w:val="4"/>
        </w:numPr>
        <w:jc w:val="both"/>
        <w:rPr>
          <w:sz w:val="20"/>
          <w:szCs w:val="20"/>
          <w:lang w:val="nl-NL"/>
        </w:rPr>
      </w:pPr>
      <w:r w:rsidRPr="0082130B">
        <w:rPr>
          <w:sz w:val="20"/>
          <w:szCs w:val="20"/>
          <w:lang w:val="nl-NL"/>
        </w:rPr>
        <w:t>Deelnemen aan en invloed uitoefenen op de campagne van de Europese Commissie tegen zwartwerk.</w:t>
      </w:r>
    </w:p>
    <w:p w14:paraId="6F1F0819" w14:textId="77777777" w:rsidR="00401825" w:rsidRPr="0082130B" w:rsidRDefault="009B4F06" w:rsidP="003370A1">
      <w:pPr>
        <w:pStyle w:val="ListParagraph"/>
        <w:numPr>
          <w:ilvl w:val="0"/>
          <w:numId w:val="4"/>
        </w:numPr>
        <w:jc w:val="both"/>
        <w:rPr>
          <w:sz w:val="20"/>
          <w:szCs w:val="20"/>
          <w:lang w:val="nl-NL"/>
        </w:rPr>
      </w:pPr>
      <w:r w:rsidRPr="0082130B">
        <w:rPr>
          <w:sz w:val="20"/>
          <w:szCs w:val="20"/>
          <w:lang w:val="nl-NL"/>
        </w:rPr>
        <w:t>Lobbyen om de Europese Arbeidsautoriteit operationeel te maken en zo snel mogelijk aan het werk te laten gaan.</w:t>
      </w:r>
    </w:p>
    <w:p w14:paraId="1486A63D" w14:textId="77777777" w:rsidR="00401825" w:rsidRPr="0082130B" w:rsidRDefault="00401825" w:rsidP="003370A1">
      <w:pPr>
        <w:jc w:val="both"/>
        <w:rPr>
          <w:sz w:val="20"/>
          <w:szCs w:val="20"/>
          <w:lang w:val="nl-NL"/>
        </w:rPr>
      </w:pPr>
    </w:p>
    <w:p w14:paraId="0CA42F15" w14:textId="3B6E9F88" w:rsidR="00401825" w:rsidRPr="0082130B" w:rsidRDefault="009B4F06" w:rsidP="003370A1">
      <w:pPr>
        <w:jc w:val="both"/>
        <w:rPr>
          <w:b/>
          <w:color w:val="7F7F7F" w:themeColor="text1" w:themeTint="80"/>
          <w:sz w:val="24"/>
          <w:szCs w:val="28"/>
          <w:lang w:val="nl-NL"/>
        </w:rPr>
      </w:pPr>
      <w:r w:rsidRPr="0082130B">
        <w:rPr>
          <w:b/>
          <w:bCs/>
          <w:color w:val="7F7F7F" w:themeColor="text1" w:themeTint="80"/>
          <w:sz w:val="24"/>
          <w:szCs w:val="28"/>
          <w:lang w:val="nl-NL"/>
        </w:rPr>
        <w:t>Gendergelijkheid in onze sectoren</w:t>
      </w:r>
    </w:p>
    <w:p w14:paraId="11AEDF98" w14:textId="77777777" w:rsidR="00401825" w:rsidRPr="0082130B" w:rsidRDefault="009B4F06" w:rsidP="003370A1">
      <w:pPr>
        <w:jc w:val="both"/>
        <w:rPr>
          <w:b/>
          <w:sz w:val="20"/>
          <w:szCs w:val="20"/>
          <w:lang w:val="nl-NL"/>
        </w:rPr>
      </w:pPr>
      <w:r w:rsidRPr="0082130B">
        <w:rPr>
          <w:b/>
          <w:bCs/>
          <w:sz w:val="20"/>
          <w:szCs w:val="20"/>
          <w:lang w:val="nl-NL"/>
        </w:rPr>
        <w:t>Momenteel vertegenwoordigen vrouwelijke werknemers ongeveer 10% van de totale beroepsbevolking in de bouwsector en ongeveer 30% in de hout- en meubelsector. De COVID-19-crisis heeft ook een specifieke genderdimensie laten zien. De verwachte toename van het aantal vrouwelijke werknemers in onze sectoren vereist een mentale transformatie en een transformatie van de specifieke organisatie van het werk op bouwplaatsen en in bedrijven, waarbij rekening wordt gehouden met en gezorgd voor de specifieke behoeften van vrouwelijke werknemers om de arbeidsomstandigheden voor iedereen te verbeteren en een gelijke behandeling te realiseren.</w:t>
      </w:r>
    </w:p>
    <w:p w14:paraId="7CC48F13" w14:textId="1DEAF6C1" w:rsidR="00401825" w:rsidRPr="0082130B" w:rsidRDefault="009B4F06" w:rsidP="003370A1">
      <w:pPr>
        <w:jc w:val="both"/>
        <w:rPr>
          <w:b/>
          <w:i/>
          <w:sz w:val="20"/>
          <w:szCs w:val="20"/>
          <w:lang w:val="nl-NL"/>
        </w:rPr>
      </w:pPr>
      <w:r w:rsidRPr="0082130B">
        <w:rPr>
          <w:b/>
          <w:bCs/>
          <w:i/>
          <w:iCs/>
          <w:sz w:val="20"/>
          <w:szCs w:val="20"/>
          <w:lang w:val="nl-NL"/>
        </w:rPr>
        <w:t>Wat we eisen:</w:t>
      </w:r>
    </w:p>
    <w:p w14:paraId="1BB1C956" w14:textId="5A09157D" w:rsidR="00401825" w:rsidRPr="0082130B" w:rsidRDefault="009B4F06" w:rsidP="003370A1">
      <w:pPr>
        <w:pStyle w:val="ListParagraph"/>
        <w:numPr>
          <w:ilvl w:val="0"/>
          <w:numId w:val="3"/>
        </w:numPr>
        <w:jc w:val="both"/>
        <w:rPr>
          <w:sz w:val="20"/>
          <w:szCs w:val="20"/>
          <w:lang w:val="nl-NL"/>
        </w:rPr>
      </w:pPr>
      <w:r w:rsidRPr="0082130B">
        <w:rPr>
          <w:sz w:val="20"/>
          <w:szCs w:val="20"/>
          <w:lang w:val="nl-NL"/>
        </w:rPr>
        <w:t>Dat de Commissie het voorstel voor een EU-richtlijn inzake loontransparantie indient om de loonkloof tussen mannen en vrouwen zo snel mogelijk te dichten. De COVID-19-crisis is geen excuus om de goedkeuring ervan te vertragen.</w:t>
      </w:r>
    </w:p>
    <w:p w14:paraId="0E859E6B" w14:textId="298A5246" w:rsidR="00401825" w:rsidRPr="0082130B" w:rsidRDefault="009B4F06" w:rsidP="003370A1">
      <w:pPr>
        <w:pStyle w:val="ListParagraph"/>
        <w:numPr>
          <w:ilvl w:val="0"/>
          <w:numId w:val="3"/>
        </w:numPr>
        <w:jc w:val="both"/>
        <w:rPr>
          <w:sz w:val="20"/>
          <w:szCs w:val="20"/>
          <w:lang w:val="nl-NL"/>
        </w:rPr>
      </w:pPr>
      <w:r w:rsidRPr="0082130B">
        <w:rPr>
          <w:sz w:val="20"/>
          <w:szCs w:val="20"/>
          <w:lang w:val="nl-NL"/>
        </w:rPr>
        <w:t xml:space="preserve">Gerichte initiatieven om onze sectoren aantrekkelijker te maken voor vrouwelijke werknemers met specifieke </w:t>
      </w:r>
      <w:bookmarkStart w:id="3" w:name="_Hlk40093020"/>
      <w:r w:rsidRPr="0082130B">
        <w:rPr>
          <w:sz w:val="20"/>
          <w:szCs w:val="20"/>
          <w:lang w:val="nl-NL"/>
        </w:rPr>
        <w:t>aandacht voor de specifieke genderdimensie die door de COVID-19-crisis aan de orde is gesteld.</w:t>
      </w:r>
    </w:p>
    <w:bookmarkEnd w:id="3"/>
    <w:p w14:paraId="371B2EDC" w14:textId="77777777" w:rsidR="00401825" w:rsidRPr="0082130B" w:rsidRDefault="00401825" w:rsidP="003370A1">
      <w:pPr>
        <w:pStyle w:val="ListParagraph"/>
        <w:jc w:val="both"/>
        <w:rPr>
          <w:b/>
          <w:i/>
          <w:sz w:val="20"/>
          <w:szCs w:val="20"/>
          <w:lang w:val="nl-NL"/>
        </w:rPr>
      </w:pPr>
    </w:p>
    <w:p w14:paraId="28E18C68" w14:textId="77777777" w:rsidR="00401825" w:rsidRPr="0082130B" w:rsidRDefault="009B4F06" w:rsidP="003370A1">
      <w:pPr>
        <w:jc w:val="both"/>
        <w:rPr>
          <w:b/>
          <w:i/>
          <w:sz w:val="20"/>
          <w:szCs w:val="20"/>
          <w:lang w:val="nl-NL"/>
        </w:rPr>
      </w:pPr>
      <w:r w:rsidRPr="0082130B">
        <w:rPr>
          <w:b/>
          <w:bCs/>
          <w:i/>
          <w:iCs/>
          <w:sz w:val="20"/>
          <w:szCs w:val="20"/>
          <w:lang w:val="nl-NL"/>
        </w:rPr>
        <w:t>Wat we zullen doen:</w:t>
      </w:r>
    </w:p>
    <w:p w14:paraId="6FD44D7E" w14:textId="77777777" w:rsidR="00401825" w:rsidRPr="0082130B" w:rsidRDefault="009B4F06" w:rsidP="003370A1">
      <w:pPr>
        <w:pStyle w:val="ListParagraph"/>
        <w:numPr>
          <w:ilvl w:val="0"/>
          <w:numId w:val="3"/>
        </w:numPr>
        <w:jc w:val="both"/>
        <w:rPr>
          <w:sz w:val="20"/>
          <w:szCs w:val="20"/>
          <w:lang w:val="nl-NL"/>
        </w:rPr>
      </w:pPr>
      <w:r w:rsidRPr="0082130B">
        <w:rPr>
          <w:sz w:val="20"/>
          <w:szCs w:val="20"/>
          <w:lang w:val="nl-NL"/>
        </w:rPr>
        <w:t>Samen met het EVV zal het vrouwennetwerk van de EFBH een brief sturen naar de Europese Commissie over de Richtlijn inzake transparantie van de beloning van mannen en vrouwen. In de brief zullen zorgen worden geuit met betrekking tot de EFBH-sectoren en het verschil tussen mannen en vrouwen op het gebied van pensioenen.</w:t>
      </w:r>
    </w:p>
    <w:p w14:paraId="3EADC133" w14:textId="77777777" w:rsidR="0011227C" w:rsidRPr="0082130B" w:rsidRDefault="009B4F06" w:rsidP="003370A1">
      <w:pPr>
        <w:pStyle w:val="ListParagraph"/>
        <w:numPr>
          <w:ilvl w:val="0"/>
          <w:numId w:val="3"/>
        </w:numPr>
        <w:jc w:val="both"/>
        <w:rPr>
          <w:bCs/>
          <w:sz w:val="20"/>
          <w:szCs w:val="20"/>
          <w:lang w:val="nl-NL"/>
        </w:rPr>
      </w:pPr>
      <w:r w:rsidRPr="0082130B">
        <w:rPr>
          <w:bCs/>
          <w:sz w:val="20"/>
          <w:szCs w:val="20"/>
          <w:lang w:val="nl-NL"/>
        </w:rPr>
        <w:t>Het vrouwennetwerk van de EFBH zal de Permanente Comités en het Uitvoerend Bestuur bijstaan bij de verdere invoering van de genderaanpak in de EFBH-werkzaamheden en bij het opnemen van genderthema's op de agenda's van de Europese sociale dialogen in onze sectoren</w:t>
      </w:r>
      <w:r w:rsidRPr="0082130B">
        <w:rPr>
          <w:bCs/>
          <w:strike/>
          <w:sz w:val="20"/>
          <w:szCs w:val="20"/>
          <w:lang w:val="nl-NL"/>
        </w:rPr>
        <w:t>,</w:t>
      </w:r>
      <w:r w:rsidRPr="0082130B">
        <w:rPr>
          <w:bCs/>
          <w:sz w:val="20"/>
          <w:szCs w:val="20"/>
          <w:lang w:val="nl-NL"/>
        </w:rPr>
        <w:t xml:space="preserve"> en ook bij de thema's die door de </w:t>
      </w:r>
      <w:proofErr w:type="spellStart"/>
      <w:r w:rsidRPr="0082130B">
        <w:rPr>
          <w:bCs/>
          <w:sz w:val="20"/>
          <w:szCs w:val="20"/>
          <w:lang w:val="nl-NL"/>
        </w:rPr>
        <w:t>EOR's</w:t>
      </w:r>
      <w:proofErr w:type="spellEnd"/>
      <w:r w:rsidRPr="0082130B">
        <w:rPr>
          <w:bCs/>
          <w:sz w:val="20"/>
          <w:szCs w:val="20"/>
          <w:lang w:val="nl-NL"/>
        </w:rPr>
        <w:t xml:space="preserve"> en de Europese en internationale vakbondsnetwerken worden behandeld.</w:t>
      </w:r>
    </w:p>
    <w:sectPr w:rsidR="0011227C" w:rsidRPr="0082130B" w:rsidSect="0082130B">
      <w:footerReference w:type="default" r:id="rId10"/>
      <w:pgSz w:w="11906" w:h="16838"/>
      <w:pgMar w:top="851" w:right="851" w:bottom="79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4DC3E6" w14:textId="77777777" w:rsidR="00BB5799" w:rsidRDefault="00BB5799">
      <w:pPr>
        <w:spacing w:after="0" w:line="240" w:lineRule="auto"/>
      </w:pPr>
      <w:r>
        <w:separator/>
      </w:r>
    </w:p>
  </w:endnote>
  <w:endnote w:type="continuationSeparator" w:id="0">
    <w:p w14:paraId="4025C503" w14:textId="77777777" w:rsidR="00BB5799" w:rsidRDefault="00BB5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5472066"/>
      <w:docPartObj>
        <w:docPartGallery w:val="Page Numbers (Bottom of Page)"/>
        <w:docPartUnique/>
      </w:docPartObj>
    </w:sdtPr>
    <w:sdtEndPr>
      <w:rPr>
        <w:noProof/>
      </w:rPr>
    </w:sdtEndPr>
    <w:sdtContent>
      <w:p w14:paraId="1E882847" w14:textId="77777777" w:rsidR="003370A1" w:rsidRPr="003370A1" w:rsidRDefault="009B4F06">
        <w:pPr>
          <w:pStyle w:val="Footer"/>
          <w:jc w:val="right"/>
        </w:pPr>
        <w:r w:rsidRPr="003370A1">
          <w:fldChar w:fldCharType="begin"/>
        </w:r>
        <w:r w:rsidRPr="003370A1">
          <w:instrText xml:space="preserve"> PAGE   \* MERGEFORMAT </w:instrText>
        </w:r>
        <w:r w:rsidRPr="003370A1">
          <w:fldChar w:fldCharType="separate"/>
        </w:r>
        <w:r w:rsidR="008F611B">
          <w:rPr>
            <w:noProof/>
          </w:rPr>
          <w:t>2</w:t>
        </w:r>
        <w:r w:rsidRPr="003370A1">
          <w:rPr>
            <w:noProof/>
          </w:rPr>
          <w:fldChar w:fldCharType="end"/>
        </w:r>
        <w:r w:rsidRPr="003370A1">
          <w:rPr>
            <w:lang w:val="nl-NL"/>
          </w:rPr>
          <w:t>/5</w:t>
        </w:r>
      </w:p>
    </w:sdtContent>
  </w:sdt>
  <w:p w14:paraId="687DEC3B" w14:textId="77777777" w:rsidR="003370A1" w:rsidRDefault="003370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240A78" w14:textId="77777777" w:rsidR="00BB5799" w:rsidRDefault="00BB5799">
      <w:pPr>
        <w:spacing w:after="0" w:line="240" w:lineRule="auto"/>
      </w:pPr>
      <w:r>
        <w:separator/>
      </w:r>
    </w:p>
  </w:footnote>
  <w:footnote w:type="continuationSeparator" w:id="0">
    <w:p w14:paraId="0457B21B" w14:textId="77777777" w:rsidR="00BB5799" w:rsidRDefault="00BB579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7E2D"/>
    <w:multiLevelType w:val="hybridMultilevel"/>
    <w:tmpl w:val="A2F893EC"/>
    <w:lvl w:ilvl="0" w:tplc="AE940B0A">
      <w:start w:val="1"/>
      <w:numFmt w:val="bullet"/>
      <w:lvlText w:val=""/>
      <w:lvlJc w:val="left"/>
      <w:pPr>
        <w:ind w:left="720" w:hanging="360"/>
      </w:pPr>
      <w:rPr>
        <w:rFonts w:ascii="Symbol" w:hAnsi="Symbol" w:hint="default"/>
      </w:rPr>
    </w:lvl>
    <w:lvl w:ilvl="1" w:tplc="C780098E" w:tentative="1">
      <w:start w:val="1"/>
      <w:numFmt w:val="bullet"/>
      <w:lvlText w:val="o"/>
      <w:lvlJc w:val="left"/>
      <w:pPr>
        <w:ind w:left="1440" w:hanging="360"/>
      </w:pPr>
      <w:rPr>
        <w:rFonts w:ascii="Courier New" w:hAnsi="Courier New" w:cs="Courier New" w:hint="default"/>
      </w:rPr>
    </w:lvl>
    <w:lvl w:ilvl="2" w:tplc="CC28D9EC" w:tentative="1">
      <w:start w:val="1"/>
      <w:numFmt w:val="bullet"/>
      <w:lvlText w:val=""/>
      <w:lvlJc w:val="left"/>
      <w:pPr>
        <w:ind w:left="2160" w:hanging="360"/>
      </w:pPr>
      <w:rPr>
        <w:rFonts w:ascii="Wingdings" w:hAnsi="Wingdings" w:hint="default"/>
      </w:rPr>
    </w:lvl>
    <w:lvl w:ilvl="3" w:tplc="EE8E3BBA" w:tentative="1">
      <w:start w:val="1"/>
      <w:numFmt w:val="bullet"/>
      <w:lvlText w:val=""/>
      <w:lvlJc w:val="left"/>
      <w:pPr>
        <w:ind w:left="2880" w:hanging="360"/>
      </w:pPr>
      <w:rPr>
        <w:rFonts w:ascii="Symbol" w:hAnsi="Symbol" w:hint="default"/>
      </w:rPr>
    </w:lvl>
    <w:lvl w:ilvl="4" w:tplc="BCC8C37C" w:tentative="1">
      <w:start w:val="1"/>
      <w:numFmt w:val="bullet"/>
      <w:lvlText w:val="o"/>
      <w:lvlJc w:val="left"/>
      <w:pPr>
        <w:ind w:left="3600" w:hanging="360"/>
      </w:pPr>
      <w:rPr>
        <w:rFonts w:ascii="Courier New" w:hAnsi="Courier New" w:cs="Courier New" w:hint="default"/>
      </w:rPr>
    </w:lvl>
    <w:lvl w:ilvl="5" w:tplc="0BE6B1E8" w:tentative="1">
      <w:start w:val="1"/>
      <w:numFmt w:val="bullet"/>
      <w:lvlText w:val=""/>
      <w:lvlJc w:val="left"/>
      <w:pPr>
        <w:ind w:left="4320" w:hanging="360"/>
      </w:pPr>
      <w:rPr>
        <w:rFonts w:ascii="Wingdings" w:hAnsi="Wingdings" w:hint="default"/>
      </w:rPr>
    </w:lvl>
    <w:lvl w:ilvl="6" w:tplc="C7A6E664" w:tentative="1">
      <w:start w:val="1"/>
      <w:numFmt w:val="bullet"/>
      <w:lvlText w:val=""/>
      <w:lvlJc w:val="left"/>
      <w:pPr>
        <w:ind w:left="5040" w:hanging="360"/>
      </w:pPr>
      <w:rPr>
        <w:rFonts w:ascii="Symbol" w:hAnsi="Symbol" w:hint="default"/>
      </w:rPr>
    </w:lvl>
    <w:lvl w:ilvl="7" w:tplc="1ECE0C02" w:tentative="1">
      <w:start w:val="1"/>
      <w:numFmt w:val="bullet"/>
      <w:lvlText w:val="o"/>
      <w:lvlJc w:val="left"/>
      <w:pPr>
        <w:ind w:left="5760" w:hanging="360"/>
      </w:pPr>
      <w:rPr>
        <w:rFonts w:ascii="Courier New" w:hAnsi="Courier New" w:cs="Courier New" w:hint="default"/>
      </w:rPr>
    </w:lvl>
    <w:lvl w:ilvl="8" w:tplc="28246948" w:tentative="1">
      <w:start w:val="1"/>
      <w:numFmt w:val="bullet"/>
      <w:lvlText w:val=""/>
      <w:lvlJc w:val="left"/>
      <w:pPr>
        <w:ind w:left="6480" w:hanging="360"/>
      </w:pPr>
      <w:rPr>
        <w:rFonts w:ascii="Wingdings" w:hAnsi="Wingdings" w:hint="default"/>
      </w:rPr>
    </w:lvl>
  </w:abstractNum>
  <w:abstractNum w:abstractNumId="1" w15:restartNumberingAfterBreak="0">
    <w:nsid w:val="18CE517F"/>
    <w:multiLevelType w:val="hybridMultilevel"/>
    <w:tmpl w:val="35E27660"/>
    <w:lvl w:ilvl="0" w:tplc="EB56D606">
      <w:start w:val="1"/>
      <w:numFmt w:val="bullet"/>
      <w:lvlText w:val=""/>
      <w:lvlJc w:val="left"/>
      <w:pPr>
        <w:ind w:left="720" w:hanging="360"/>
      </w:pPr>
      <w:rPr>
        <w:rFonts w:ascii="Symbol" w:hAnsi="Symbol" w:hint="default"/>
      </w:rPr>
    </w:lvl>
    <w:lvl w:ilvl="1" w:tplc="216A6A3C" w:tentative="1">
      <w:start w:val="1"/>
      <w:numFmt w:val="bullet"/>
      <w:lvlText w:val="o"/>
      <w:lvlJc w:val="left"/>
      <w:pPr>
        <w:ind w:left="1440" w:hanging="360"/>
      </w:pPr>
      <w:rPr>
        <w:rFonts w:ascii="Courier New" w:hAnsi="Courier New" w:cs="Courier New" w:hint="default"/>
      </w:rPr>
    </w:lvl>
    <w:lvl w:ilvl="2" w:tplc="DDF2216E" w:tentative="1">
      <w:start w:val="1"/>
      <w:numFmt w:val="bullet"/>
      <w:lvlText w:val=""/>
      <w:lvlJc w:val="left"/>
      <w:pPr>
        <w:ind w:left="2160" w:hanging="360"/>
      </w:pPr>
      <w:rPr>
        <w:rFonts w:ascii="Wingdings" w:hAnsi="Wingdings" w:hint="default"/>
      </w:rPr>
    </w:lvl>
    <w:lvl w:ilvl="3" w:tplc="BB7C0184" w:tentative="1">
      <w:start w:val="1"/>
      <w:numFmt w:val="bullet"/>
      <w:lvlText w:val=""/>
      <w:lvlJc w:val="left"/>
      <w:pPr>
        <w:ind w:left="2880" w:hanging="360"/>
      </w:pPr>
      <w:rPr>
        <w:rFonts w:ascii="Symbol" w:hAnsi="Symbol" w:hint="default"/>
      </w:rPr>
    </w:lvl>
    <w:lvl w:ilvl="4" w:tplc="7BA4DB72" w:tentative="1">
      <w:start w:val="1"/>
      <w:numFmt w:val="bullet"/>
      <w:lvlText w:val="o"/>
      <w:lvlJc w:val="left"/>
      <w:pPr>
        <w:ind w:left="3600" w:hanging="360"/>
      </w:pPr>
      <w:rPr>
        <w:rFonts w:ascii="Courier New" w:hAnsi="Courier New" w:cs="Courier New" w:hint="default"/>
      </w:rPr>
    </w:lvl>
    <w:lvl w:ilvl="5" w:tplc="61E28742" w:tentative="1">
      <w:start w:val="1"/>
      <w:numFmt w:val="bullet"/>
      <w:lvlText w:val=""/>
      <w:lvlJc w:val="left"/>
      <w:pPr>
        <w:ind w:left="4320" w:hanging="360"/>
      </w:pPr>
      <w:rPr>
        <w:rFonts w:ascii="Wingdings" w:hAnsi="Wingdings" w:hint="default"/>
      </w:rPr>
    </w:lvl>
    <w:lvl w:ilvl="6" w:tplc="8140140C" w:tentative="1">
      <w:start w:val="1"/>
      <w:numFmt w:val="bullet"/>
      <w:lvlText w:val=""/>
      <w:lvlJc w:val="left"/>
      <w:pPr>
        <w:ind w:left="5040" w:hanging="360"/>
      </w:pPr>
      <w:rPr>
        <w:rFonts w:ascii="Symbol" w:hAnsi="Symbol" w:hint="default"/>
      </w:rPr>
    </w:lvl>
    <w:lvl w:ilvl="7" w:tplc="71FC7184" w:tentative="1">
      <w:start w:val="1"/>
      <w:numFmt w:val="bullet"/>
      <w:lvlText w:val="o"/>
      <w:lvlJc w:val="left"/>
      <w:pPr>
        <w:ind w:left="5760" w:hanging="360"/>
      </w:pPr>
      <w:rPr>
        <w:rFonts w:ascii="Courier New" w:hAnsi="Courier New" w:cs="Courier New" w:hint="default"/>
      </w:rPr>
    </w:lvl>
    <w:lvl w:ilvl="8" w:tplc="5CAC8644" w:tentative="1">
      <w:start w:val="1"/>
      <w:numFmt w:val="bullet"/>
      <w:lvlText w:val=""/>
      <w:lvlJc w:val="left"/>
      <w:pPr>
        <w:ind w:left="6480" w:hanging="360"/>
      </w:pPr>
      <w:rPr>
        <w:rFonts w:ascii="Wingdings" w:hAnsi="Wingdings" w:hint="default"/>
      </w:rPr>
    </w:lvl>
  </w:abstractNum>
  <w:abstractNum w:abstractNumId="2" w15:restartNumberingAfterBreak="0">
    <w:nsid w:val="3C205321"/>
    <w:multiLevelType w:val="hybridMultilevel"/>
    <w:tmpl w:val="B660195C"/>
    <w:lvl w:ilvl="0" w:tplc="CCD0C888">
      <w:start w:val="1"/>
      <w:numFmt w:val="bullet"/>
      <w:lvlText w:val=""/>
      <w:lvlJc w:val="left"/>
      <w:pPr>
        <w:ind w:left="720" w:hanging="360"/>
      </w:pPr>
      <w:rPr>
        <w:rFonts w:ascii="Symbol" w:hAnsi="Symbol" w:hint="default"/>
      </w:rPr>
    </w:lvl>
    <w:lvl w:ilvl="1" w:tplc="A8AE8D70" w:tentative="1">
      <w:start w:val="1"/>
      <w:numFmt w:val="bullet"/>
      <w:lvlText w:val="o"/>
      <w:lvlJc w:val="left"/>
      <w:pPr>
        <w:ind w:left="1440" w:hanging="360"/>
      </w:pPr>
      <w:rPr>
        <w:rFonts w:ascii="Courier New" w:hAnsi="Courier New" w:cs="Courier New" w:hint="default"/>
      </w:rPr>
    </w:lvl>
    <w:lvl w:ilvl="2" w:tplc="9A785442" w:tentative="1">
      <w:start w:val="1"/>
      <w:numFmt w:val="bullet"/>
      <w:lvlText w:val=""/>
      <w:lvlJc w:val="left"/>
      <w:pPr>
        <w:ind w:left="2160" w:hanging="360"/>
      </w:pPr>
      <w:rPr>
        <w:rFonts w:ascii="Wingdings" w:hAnsi="Wingdings" w:hint="default"/>
      </w:rPr>
    </w:lvl>
    <w:lvl w:ilvl="3" w:tplc="CBFE5564" w:tentative="1">
      <w:start w:val="1"/>
      <w:numFmt w:val="bullet"/>
      <w:lvlText w:val=""/>
      <w:lvlJc w:val="left"/>
      <w:pPr>
        <w:ind w:left="2880" w:hanging="360"/>
      </w:pPr>
      <w:rPr>
        <w:rFonts w:ascii="Symbol" w:hAnsi="Symbol" w:hint="default"/>
      </w:rPr>
    </w:lvl>
    <w:lvl w:ilvl="4" w:tplc="612A1BF6" w:tentative="1">
      <w:start w:val="1"/>
      <w:numFmt w:val="bullet"/>
      <w:lvlText w:val="o"/>
      <w:lvlJc w:val="left"/>
      <w:pPr>
        <w:ind w:left="3600" w:hanging="360"/>
      </w:pPr>
      <w:rPr>
        <w:rFonts w:ascii="Courier New" w:hAnsi="Courier New" w:cs="Courier New" w:hint="default"/>
      </w:rPr>
    </w:lvl>
    <w:lvl w:ilvl="5" w:tplc="0734A9A6" w:tentative="1">
      <w:start w:val="1"/>
      <w:numFmt w:val="bullet"/>
      <w:lvlText w:val=""/>
      <w:lvlJc w:val="left"/>
      <w:pPr>
        <w:ind w:left="4320" w:hanging="360"/>
      </w:pPr>
      <w:rPr>
        <w:rFonts w:ascii="Wingdings" w:hAnsi="Wingdings" w:hint="default"/>
      </w:rPr>
    </w:lvl>
    <w:lvl w:ilvl="6" w:tplc="B064726A" w:tentative="1">
      <w:start w:val="1"/>
      <w:numFmt w:val="bullet"/>
      <w:lvlText w:val=""/>
      <w:lvlJc w:val="left"/>
      <w:pPr>
        <w:ind w:left="5040" w:hanging="360"/>
      </w:pPr>
      <w:rPr>
        <w:rFonts w:ascii="Symbol" w:hAnsi="Symbol" w:hint="default"/>
      </w:rPr>
    </w:lvl>
    <w:lvl w:ilvl="7" w:tplc="E19A52AE" w:tentative="1">
      <w:start w:val="1"/>
      <w:numFmt w:val="bullet"/>
      <w:lvlText w:val="o"/>
      <w:lvlJc w:val="left"/>
      <w:pPr>
        <w:ind w:left="5760" w:hanging="360"/>
      </w:pPr>
      <w:rPr>
        <w:rFonts w:ascii="Courier New" w:hAnsi="Courier New" w:cs="Courier New" w:hint="default"/>
      </w:rPr>
    </w:lvl>
    <w:lvl w:ilvl="8" w:tplc="32B81CD4" w:tentative="1">
      <w:start w:val="1"/>
      <w:numFmt w:val="bullet"/>
      <w:lvlText w:val=""/>
      <w:lvlJc w:val="left"/>
      <w:pPr>
        <w:ind w:left="6480" w:hanging="360"/>
      </w:pPr>
      <w:rPr>
        <w:rFonts w:ascii="Wingdings" w:hAnsi="Wingdings" w:hint="default"/>
      </w:rPr>
    </w:lvl>
  </w:abstractNum>
  <w:abstractNum w:abstractNumId="3" w15:restartNumberingAfterBreak="0">
    <w:nsid w:val="3FB007D0"/>
    <w:multiLevelType w:val="hybridMultilevel"/>
    <w:tmpl w:val="4ADC57E8"/>
    <w:lvl w:ilvl="0" w:tplc="0B760864">
      <w:start w:val="1"/>
      <w:numFmt w:val="bullet"/>
      <w:lvlText w:val=""/>
      <w:lvlJc w:val="left"/>
      <w:pPr>
        <w:ind w:left="720" w:hanging="360"/>
      </w:pPr>
      <w:rPr>
        <w:rFonts w:ascii="Symbol" w:hAnsi="Symbol" w:cs="Symbol" w:hint="default"/>
      </w:rPr>
    </w:lvl>
    <w:lvl w:ilvl="1" w:tplc="588ED596">
      <w:start w:val="1"/>
      <w:numFmt w:val="bullet"/>
      <w:lvlText w:val=""/>
      <w:lvlJc w:val="left"/>
      <w:pPr>
        <w:ind w:left="1440" w:hanging="360"/>
      </w:pPr>
      <w:rPr>
        <w:rFonts w:ascii="Symbol" w:hAnsi="Symbol" w:hint="default"/>
      </w:rPr>
    </w:lvl>
    <w:lvl w:ilvl="2" w:tplc="65468BE0" w:tentative="1">
      <w:start w:val="1"/>
      <w:numFmt w:val="bullet"/>
      <w:lvlText w:val=""/>
      <w:lvlJc w:val="left"/>
      <w:pPr>
        <w:ind w:left="2160" w:hanging="360"/>
      </w:pPr>
      <w:rPr>
        <w:rFonts w:ascii="Wingdings" w:hAnsi="Wingdings" w:cs="Wingdings" w:hint="default"/>
      </w:rPr>
    </w:lvl>
    <w:lvl w:ilvl="3" w:tplc="9A448806" w:tentative="1">
      <w:start w:val="1"/>
      <w:numFmt w:val="bullet"/>
      <w:lvlText w:val=""/>
      <w:lvlJc w:val="left"/>
      <w:pPr>
        <w:ind w:left="2880" w:hanging="360"/>
      </w:pPr>
      <w:rPr>
        <w:rFonts w:ascii="Symbol" w:hAnsi="Symbol" w:cs="Symbol" w:hint="default"/>
      </w:rPr>
    </w:lvl>
    <w:lvl w:ilvl="4" w:tplc="C778C47A" w:tentative="1">
      <w:start w:val="1"/>
      <w:numFmt w:val="bullet"/>
      <w:lvlText w:val="o"/>
      <w:lvlJc w:val="left"/>
      <w:pPr>
        <w:ind w:left="3600" w:hanging="360"/>
      </w:pPr>
      <w:rPr>
        <w:rFonts w:ascii="Courier New" w:hAnsi="Courier New" w:cs="Courier New" w:hint="default"/>
      </w:rPr>
    </w:lvl>
    <w:lvl w:ilvl="5" w:tplc="F0D0F2A6" w:tentative="1">
      <w:start w:val="1"/>
      <w:numFmt w:val="bullet"/>
      <w:lvlText w:val=""/>
      <w:lvlJc w:val="left"/>
      <w:pPr>
        <w:ind w:left="4320" w:hanging="360"/>
      </w:pPr>
      <w:rPr>
        <w:rFonts w:ascii="Wingdings" w:hAnsi="Wingdings" w:cs="Wingdings" w:hint="default"/>
      </w:rPr>
    </w:lvl>
    <w:lvl w:ilvl="6" w:tplc="873A57C6" w:tentative="1">
      <w:start w:val="1"/>
      <w:numFmt w:val="bullet"/>
      <w:lvlText w:val=""/>
      <w:lvlJc w:val="left"/>
      <w:pPr>
        <w:ind w:left="5040" w:hanging="360"/>
      </w:pPr>
      <w:rPr>
        <w:rFonts w:ascii="Symbol" w:hAnsi="Symbol" w:cs="Symbol" w:hint="default"/>
      </w:rPr>
    </w:lvl>
    <w:lvl w:ilvl="7" w:tplc="A93E494A" w:tentative="1">
      <w:start w:val="1"/>
      <w:numFmt w:val="bullet"/>
      <w:lvlText w:val="o"/>
      <w:lvlJc w:val="left"/>
      <w:pPr>
        <w:ind w:left="5760" w:hanging="360"/>
      </w:pPr>
      <w:rPr>
        <w:rFonts w:ascii="Courier New" w:hAnsi="Courier New" w:cs="Courier New" w:hint="default"/>
      </w:rPr>
    </w:lvl>
    <w:lvl w:ilvl="8" w:tplc="124C551A" w:tentative="1">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25"/>
    <w:rsid w:val="000022BD"/>
    <w:rsid w:val="00003CF4"/>
    <w:rsid w:val="00004A4A"/>
    <w:rsid w:val="00011BF2"/>
    <w:rsid w:val="00016436"/>
    <w:rsid w:val="00020CA4"/>
    <w:rsid w:val="00024297"/>
    <w:rsid w:val="00025EED"/>
    <w:rsid w:val="0003025F"/>
    <w:rsid w:val="000311CF"/>
    <w:rsid w:val="000314AD"/>
    <w:rsid w:val="00034213"/>
    <w:rsid w:val="000350EC"/>
    <w:rsid w:val="00040743"/>
    <w:rsid w:val="00041199"/>
    <w:rsid w:val="00046491"/>
    <w:rsid w:val="0005061E"/>
    <w:rsid w:val="00051A2D"/>
    <w:rsid w:val="000532BA"/>
    <w:rsid w:val="00054045"/>
    <w:rsid w:val="00056420"/>
    <w:rsid w:val="00062DF1"/>
    <w:rsid w:val="00083445"/>
    <w:rsid w:val="00086646"/>
    <w:rsid w:val="00091ABC"/>
    <w:rsid w:val="000953FA"/>
    <w:rsid w:val="00096723"/>
    <w:rsid w:val="00096D2B"/>
    <w:rsid w:val="000A1000"/>
    <w:rsid w:val="000A495B"/>
    <w:rsid w:val="000A4A96"/>
    <w:rsid w:val="000A72AE"/>
    <w:rsid w:val="000A78A0"/>
    <w:rsid w:val="000B2927"/>
    <w:rsid w:val="000B2C2D"/>
    <w:rsid w:val="000B2F02"/>
    <w:rsid w:val="000B39C7"/>
    <w:rsid w:val="000B476B"/>
    <w:rsid w:val="000B58C1"/>
    <w:rsid w:val="000B6218"/>
    <w:rsid w:val="000B7588"/>
    <w:rsid w:val="000C1756"/>
    <w:rsid w:val="000C414D"/>
    <w:rsid w:val="000C52E1"/>
    <w:rsid w:val="000D0D68"/>
    <w:rsid w:val="000F329B"/>
    <w:rsid w:val="000F3EC8"/>
    <w:rsid w:val="000F59EF"/>
    <w:rsid w:val="000F6E12"/>
    <w:rsid w:val="000F7966"/>
    <w:rsid w:val="00100C8A"/>
    <w:rsid w:val="00101219"/>
    <w:rsid w:val="0010181F"/>
    <w:rsid w:val="00110E0B"/>
    <w:rsid w:val="0011227C"/>
    <w:rsid w:val="00112CA1"/>
    <w:rsid w:val="00113AF2"/>
    <w:rsid w:val="00116A0B"/>
    <w:rsid w:val="001177B1"/>
    <w:rsid w:val="00117EA1"/>
    <w:rsid w:val="00120A16"/>
    <w:rsid w:val="001236B3"/>
    <w:rsid w:val="00125ADA"/>
    <w:rsid w:val="00131502"/>
    <w:rsid w:val="00136B87"/>
    <w:rsid w:val="00136F1B"/>
    <w:rsid w:val="00141636"/>
    <w:rsid w:val="0014209E"/>
    <w:rsid w:val="00146341"/>
    <w:rsid w:val="001519A8"/>
    <w:rsid w:val="0015471C"/>
    <w:rsid w:val="00154FC8"/>
    <w:rsid w:val="00155DA3"/>
    <w:rsid w:val="001620DD"/>
    <w:rsid w:val="0016425C"/>
    <w:rsid w:val="00164FB6"/>
    <w:rsid w:val="00166559"/>
    <w:rsid w:val="00166930"/>
    <w:rsid w:val="00166CDC"/>
    <w:rsid w:val="0017049D"/>
    <w:rsid w:val="00170817"/>
    <w:rsid w:val="00181851"/>
    <w:rsid w:val="00182497"/>
    <w:rsid w:val="00182A9C"/>
    <w:rsid w:val="00190D2A"/>
    <w:rsid w:val="00191C66"/>
    <w:rsid w:val="00193DB1"/>
    <w:rsid w:val="001940E3"/>
    <w:rsid w:val="00194616"/>
    <w:rsid w:val="001946FA"/>
    <w:rsid w:val="00194B55"/>
    <w:rsid w:val="00195966"/>
    <w:rsid w:val="00195C66"/>
    <w:rsid w:val="0019617F"/>
    <w:rsid w:val="00197C1C"/>
    <w:rsid w:val="001A1047"/>
    <w:rsid w:val="001A7068"/>
    <w:rsid w:val="001B05CF"/>
    <w:rsid w:val="001B1F59"/>
    <w:rsid w:val="001B5F32"/>
    <w:rsid w:val="001B65C1"/>
    <w:rsid w:val="001C0C8B"/>
    <w:rsid w:val="001D3866"/>
    <w:rsid w:val="001D6F4F"/>
    <w:rsid w:val="001E1D59"/>
    <w:rsid w:val="001E5588"/>
    <w:rsid w:val="001E5BB0"/>
    <w:rsid w:val="001E62C7"/>
    <w:rsid w:val="001E6F95"/>
    <w:rsid w:val="001F2304"/>
    <w:rsid w:val="001F5901"/>
    <w:rsid w:val="001F5FCD"/>
    <w:rsid w:val="001F6890"/>
    <w:rsid w:val="001F6C8B"/>
    <w:rsid w:val="00201565"/>
    <w:rsid w:val="00210B03"/>
    <w:rsid w:val="00214854"/>
    <w:rsid w:val="00215ADA"/>
    <w:rsid w:val="00215E2D"/>
    <w:rsid w:val="00224A64"/>
    <w:rsid w:val="00226D5E"/>
    <w:rsid w:val="002301C6"/>
    <w:rsid w:val="00236E3B"/>
    <w:rsid w:val="00237E08"/>
    <w:rsid w:val="00240C12"/>
    <w:rsid w:val="00240C53"/>
    <w:rsid w:val="0024136E"/>
    <w:rsid w:val="002418B2"/>
    <w:rsid w:val="002506E8"/>
    <w:rsid w:val="0025191B"/>
    <w:rsid w:val="00255701"/>
    <w:rsid w:val="002604C8"/>
    <w:rsid w:val="0026191B"/>
    <w:rsid w:val="0026463E"/>
    <w:rsid w:val="00270931"/>
    <w:rsid w:val="0027581B"/>
    <w:rsid w:val="00277045"/>
    <w:rsid w:val="00286246"/>
    <w:rsid w:val="0029190B"/>
    <w:rsid w:val="00291CD4"/>
    <w:rsid w:val="00292A38"/>
    <w:rsid w:val="002963CA"/>
    <w:rsid w:val="00296EBB"/>
    <w:rsid w:val="002A3DB8"/>
    <w:rsid w:val="002A41F9"/>
    <w:rsid w:val="002A6A02"/>
    <w:rsid w:val="002A7329"/>
    <w:rsid w:val="002B00AC"/>
    <w:rsid w:val="002B109C"/>
    <w:rsid w:val="002B160A"/>
    <w:rsid w:val="002C7C8D"/>
    <w:rsid w:val="002D0BE8"/>
    <w:rsid w:val="002D73F5"/>
    <w:rsid w:val="002E26BE"/>
    <w:rsid w:val="002E519B"/>
    <w:rsid w:val="002E637A"/>
    <w:rsid w:val="002F129E"/>
    <w:rsid w:val="002F1558"/>
    <w:rsid w:val="002F1A4A"/>
    <w:rsid w:val="002F24D7"/>
    <w:rsid w:val="002F31FC"/>
    <w:rsid w:val="002F6B62"/>
    <w:rsid w:val="00300680"/>
    <w:rsid w:val="00300DB6"/>
    <w:rsid w:val="003028CF"/>
    <w:rsid w:val="003034C7"/>
    <w:rsid w:val="00303818"/>
    <w:rsid w:val="003039D4"/>
    <w:rsid w:val="00304E57"/>
    <w:rsid w:val="0030701D"/>
    <w:rsid w:val="00311066"/>
    <w:rsid w:val="00313664"/>
    <w:rsid w:val="003139E0"/>
    <w:rsid w:val="00314D73"/>
    <w:rsid w:val="003204B5"/>
    <w:rsid w:val="00321DD2"/>
    <w:rsid w:val="00321F8A"/>
    <w:rsid w:val="00323823"/>
    <w:rsid w:val="00324CE8"/>
    <w:rsid w:val="003265D7"/>
    <w:rsid w:val="00326982"/>
    <w:rsid w:val="003273B8"/>
    <w:rsid w:val="00332495"/>
    <w:rsid w:val="00334126"/>
    <w:rsid w:val="003356E1"/>
    <w:rsid w:val="00335D72"/>
    <w:rsid w:val="003370A1"/>
    <w:rsid w:val="0034087E"/>
    <w:rsid w:val="00340FFE"/>
    <w:rsid w:val="00354964"/>
    <w:rsid w:val="00357218"/>
    <w:rsid w:val="00360B1E"/>
    <w:rsid w:val="003611D9"/>
    <w:rsid w:val="00361CFF"/>
    <w:rsid w:val="0036392D"/>
    <w:rsid w:val="00371CD0"/>
    <w:rsid w:val="00371EFA"/>
    <w:rsid w:val="00372B8F"/>
    <w:rsid w:val="00374253"/>
    <w:rsid w:val="00374B2C"/>
    <w:rsid w:val="00377379"/>
    <w:rsid w:val="0037769A"/>
    <w:rsid w:val="00377AC7"/>
    <w:rsid w:val="0038022F"/>
    <w:rsid w:val="00380480"/>
    <w:rsid w:val="00382101"/>
    <w:rsid w:val="00385907"/>
    <w:rsid w:val="0038771E"/>
    <w:rsid w:val="003930B4"/>
    <w:rsid w:val="00396775"/>
    <w:rsid w:val="003A1255"/>
    <w:rsid w:val="003A3FD0"/>
    <w:rsid w:val="003A6D52"/>
    <w:rsid w:val="003A7892"/>
    <w:rsid w:val="003A7BC4"/>
    <w:rsid w:val="003B1F89"/>
    <w:rsid w:val="003B4263"/>
    <w:rsid w:val="003C067F"/>
    <w:rsid w:val="003C10A2"/>
    <w:rsid w:val="003C3DF0"/>
    <w:rsid w:val="003C4F43"/>
    <w:rsid w:val="003D0EB4"/>
    <w:rsid w:val="003D1241"/>
    <w:rsid w:val="003D13A7"/>
    <w:rsid w:val="003D536F"/>
    <w:rsid w:val="003D6EE5"/>
    <w:rsid w:val="003E3974"/>
    <w:rsid w:val="003E3ED0"/>
    <w:rsid w:val="003E70A6"/>
    <w:rsid w:val="003F41F2"/>
    <w:rsid w:val="003F6097"/>
    <w:rsid w:val="003F7BC0"/>
    <w:rsid w:val="00401825"/>
    <w:rsid w:val="004045BC"/>
    <w:rsid w:val="00406C55"/>
    <w:rsid w:val="00406CDD"/>
    <w:rsid w:val="00416C40"/>
    <w:rsid w:val="004218AA"/>
    <w:rsid w:val="004234BA"/>
    <w:rsid w:val="00423D83"/>
    <w:rsid w:val="004242BD"/>
    <w:rsid w:val="00424CDA"/>
    <w:rsid w:val="00425C3F"/>
    <w:rsid w:val="004262C9"/>
    <w:rsid w:val="0042631E"/>
    <w:rsid w:val="004267E0"/>
    <w:rsid w:val="00426FD6"/>
    <w:rsid w:val="00430BD4"/>
    <w:rsid w:val="00435FDD"/>
    <w:rsid w:val="004364C7"/>
    <w:rsid w:val="0044194F"/>
    <w:rsid w:val="0044322F"/>
    <w:rsid w:val="00447720"/>
    <w:rsid w:val="00450187"/>
    <w:rsid w:val="004526E6"/>
    <w:rsid w:val="004578C1"/>
    <w:rsid w:val="00461C2D"/>
    <w:rsid w:val="00463DC4"/>
    <w:rsid w:val="00465596"/>
    <w:rsid w:val="00467BE0"/>
    <w:rsid w:val="004704A6"/>
    <w:rsid w:val="004736A8"/>
    <w:rsid w:val="00474B19"/>
    <w:rsid w:val="00474E94"/>
    <w:rsid w:val="00475C4F"/>
    <w:rsid w:val="00477DD2"/>
    <w:rsid w:val="004800B2"/>
    <w:rsid w:val="004827B7"/>
    <w:rsid w:val="0048653B"/>
    <w:rsid w:val="00490A2A"/>
    <w:rsid w:val="004A22A4"/>
    <w:rsid w:val="004A293E"/>
    <w:rsid w:val="004A5982"/>
    <w:rsid w:val="004A5E2B"/>
    <w:rsid w:val="004B0E68"/>
    <w:rsid w:val="004B52CC"/>
    <w:rsid w:val="004B7213"/>
    <w:rsid w:val="004C1D84"/>
    <w:rsid w:val="004C2AE0"/>
    <w:rsid w:val="004C3EAB"/>
    <w:rsid w:val="004C7475"/>
    <w:rsid w:val="004D07DE"/>
    <w:rsid w:val="004D41EF"/>
    <w:rsid w:val="004D7DEE"/>
    <w:rsid w:val="004E1DC0"/>
    <w:rsid w:val="004E2592"/>
    <w:rsid w:val="004E2FA5"/>
    <w:rsid w:val="004E37B0"/>
    <w:rsid w:val="004E4974"/>
    <w:rsid w:val="004E59B7"/>
    <w:rsid w:val="004F1A62"/>
    <w:rsid w:val="004F1C45"/>
    <w:rsid w:val="004F36C4"/>
    <w:rsid w:val="004F5A50"/>
    <w:rsid w:val="004F67CE"/>
    <w:rsid w:val="005011B6"/>
    <w:rsid w:val="0050249A"/>
    <w:rsid w:val="005028F9"/>
    <w:rsid w:val="005132C7"/>
    <w:rsid w:val="00513338"/>
    <w:rsid w:val="00513B58"/>
    <w:rsid w:val="00513D9F"/>
    <w:rsid w:val="005219A2"/>
    <w:rsid w:val="00523894"/>
    <w:rsid w:val="00525D4F"/>
    <w:rsid w:val="00525F3E"/>
    <w:rsid w:val="0052694C"/>
    <w:rsid w:val="005302BE"/>
    <w:rsid w:val="00530C56"/>
    <w:rsid w:val="00531541"/>
    <w:rsid w:val="0053565A"/>
    <w:rsid w:val="005363F2"/>
    <w:rsid w:val="005376D5"/>
    <w:rsid w:val="0054226F"/>
    <w:rsid w:val="005430B8"/>
    <w:rsid w:val="00544E14"/>
    <w:rsid w:val="00550168"/>
    <w:rsid w:val="0055095F"/>
    <w:rsid w:val="00550BC4"/>
    <w:rsid w:val="005518C7"/>
    <w:rsid w:val="005524EA"/>
    <w:rsid w:val="00552811"/>
    <w:rsid w:val="00552AF0"/>
    <w:rsid w:val="0055765F"/>
    <w:rsid w:val="0056210B"/>
    <w:rsid w:val="005625E1"/>
    <w:rsid w:val="00565749"/>
    <w:rsid w:val="0057152F"/>
    <w:rsid w:val="00572E21"/>
    <w:rsid w:val="00577A76"/>
    <w:rsid w:val="0058284A"/>
    <w:rsid w:val="00587335"/>
    <w:rsid w:val="005937BF"/>
    <w:rsid w:val="005949B0"/>
    <w:rsid w:val="00595377"/>
    <w:rsid w:val="005A0C3B"/>
    <w:rsid w:val="005A3E96"/>
    <w:rsid w:val="005A4C6F"/>
    <w:rsid w:val="005A57DE"/>
    <w:rsid w:val="005A6410"/>
    <w:rsid w:val="005B7E49"/>
    <w:rsid w:val="005C07B0"/>
    <w:rsid w:val="005C18C6"/>
    <w:rsid w:val="005D0232"/>
    <w:rsid w:val="005D5510"/>
    <w:rsid w:val="005E052E"/>
    <w:rsid w:val="005E1C4B"/>
    <w:rsid w:val="005E72AF"/>
    <w:rsid w:val="005F3996"/>
    <w:rsid w:val="005F7A74"/>
    <w:rsid w:val="00600A5D"/>
    <w:rsid w:val="006042C9"/>
    <w:rsid w:val="006055F5"/>
    <w:rsid w:val="0061118E"/>
    <w:rsid w:val="0061465E"/>
    <w:rsid w:val="0062073A"/>
    <w:rsid w:val="00624654"/>
    <w:rsid w:val="00625606"/>
    <w:rsid w:val="00627484"/>
    <w:rsid w:val="00632943"/>
    <w:rsid w:val="00632AF6"/>
    <w:rsid w:val="006334C2"/>
    <w:rsid w:val="006336F3"/>
    <w:rsid w:val="00633BE4"/>
    <w:rsid w:val="0063531F"/>
    <w:rsid w:val="006409B9"/>
    <w:rsid w:val="00640CC9"/>
    <w:rsid w:val="00642060"/>
    <w:rsid w:val="006459FD"/>
    <w:rsid w:val="00650C6C"/>
    <w:rsid w:val="006560B0"/>
    <w:rsid w:val="00660C5B"/>
    <w:rsid w:val="00667DAF"/>
    <w:rsid w:val="00667E4C"/>
    <w:rsid w:val="006706F0"/>
    <w:rsid w:val="006740E1"/>
    <w:rsid w:val="00681115"/>
    <w:rsid w:val="00681774"/>
    <w:rsid w:val="006819C6"/>
    <w:rsid w:val="006831C0"/>
    <w:rsid w:val="00683E5A"/>
    <w:rsid w:val="00684EC0"/>
    <w:rsid w:val="00686A86"/>
    <w:rsid w:val="00687C5B"/>
    <w:rsid w:val="00690499"/>
    <w:rsid w:val="00691CF6"/>
    <w:rsid w:val="00694206"/>
    <w:rsid w:val="00695402"/>
    <w:rsid w:val="006A0654"/>
    <w:rsid w:val="006A4B4F"/>
    <w:rsid w:val="006A4DDE"/>
    <w:rsid w:val="006A6134"/>
    <w:rsid w:val="006A74F5"/>
    <w:rsid w:val="006B1555"/>
    <w:rsid w:val="006B46D6"/>
    <w:rsid w:val="006B4C41"/>
    <w:rsid w:val="006B6533"/>
    <w:rsid w:val="006C1852"/>
    <w:rsid w:val="006C1B2F"/>
    <w:rsid w:val="006C3428"/>
    <w:rsid w:val="006C3493"/>
    <w:rsid w:val="006C4DFE"/>
    <w:rsid w:val="006C6615"/>
    <w:rsid w:val="006C7C2C"/>
    <w:rsid w:val="006D2EE3"/>
    <w:rsid w:val="006E0797"/>
    <w:rsid w:val="006E0DE3"/>
    <w:rsid w:val="006E12B9"/>
    <w:rsid w:val="006E14B1"/>
    <w:rsid w:val="006E1A34"/>
    <w:rsid w:val="006E2115"/>
    <w:rsid w:val="006E281C"/>
    <w:rsid w:val="006E4B6B"/>
    <w:rsid w:val="006F1BCB"/>
    <w:rsid w:val="006F3667"/>
    <w:rsid w:val="006F4095"/>
    <w:rsid w:val="006F44C9"/>
    <w:rsid w:val="006F7193"/>
    <w:rsid w:val="00703B72"/>
    <w:rsid w:val="0070483A"/>
    <w:rsid w:val="00712250"/>
    <w:rsid w:val="00714157"/>
    <w:rsid w:val="00715DCC"/>
    <w:rsid w:val="00717633"/>
    <w:rsid w:val="00717EED"/>
    <w:rsid w:val="00722EFD"/>
    <w:rsid w:val="007328BB"/>
    <w:rsid w:val="00732F9F"/>
    <w:rsid w:val="00734DF3"/>
    <w:rsid w:val="00737609"/>
    <w:rsid w:val="007417DE"/>
    <w:rsid w:val="0074209D"/>
    <w:rsid w:val="00743C2B"/>
    <w:rsid w:val="00745D7B"/>
    <w:rsid w:val="007479D1"/>
    <w:rsid w:val="00754859"/>
    <w:rsid w:val="00755939"/>
    <w:rsid w:val="00756124"/>
    <w:rsid w:val="007568D5"/>
    <w:rsid w:val="007601D0"/>
    <w:rsid w:val="00761B0E"/>
    <w:rsid w:val="007628CC"/>
    <w:rsid w:val="00770711"/>
    <w:rsid w:val="00770F61"/>
    <w:rsid w:val="007711B5"/>
    <w:rsid w:val="00771CF1"/>
    <w:rsid w:val="007742E0"/>
    <w:rsid w:val="0077647C"/>
    <w:rsid w:val="0078332C"/>
    <w:rsid w:val="0079037D"/>
    <w:rsid w:val="007958A5"/>
    <w:rsid w:val="00796EE8"/>
    <w:rsid w:val="007A0314"/>
    <w:rsid w:val="007A089D"/>
    <w:rsid w:val="007A3CB9"/>
    <w:rsid w:val="007A539F"/>
    <w:rsid w:val="007A6538"/>
    <w:rsid w:val="007B2119"/>
    <w:rsid w:val="007C3170"/>
    <w:rsid w:val="007C567F"/>
    <w:rsid w:val="007C754A"/>
    <w:rsid w:val="007D10EF"/>
    <w:rsid w:val="007D59F1"/>
    <w:rsid w:val="007E17E6"/>
    <w:rsid w:val="007E275F"/>
    <w:rsid w:val="007E2FF0"/>
    <w:rsid w:val="007F160F"/>
    <w:rsid w:val="007F1C1B"/>
    <w:rsid w:val="007F2820"/>
    <w:rsid w:val="007F2A5E"/>
    <w:rsid w:val="007F2F3B"/>
    <w:rsid w:val="007F4FA1"/>
    <w:rsid w:val="00801077"/>
    <w:rsid w:val="008018E0"/>
    <w:rsid w:val="00802B66"/>
    <w:rsid w:val="008045D2"/>
    <w:rsid w:val="00805BE6"/>
    <w:rsid w:val="00807C7A"/>
    <w:rsid w:val="00810C18"/>
    <w:rsid w:val="008120BF"/>
    <w:rsid w:val="00813C5E"/>
    <w:rsid w:val="00813E2E"/>
    <w:rsid w:val="0081453B"/>
    <w:rsid w:val="00816ABC"/>
    <w:rsid w:val="0081787F"/>
    <w:rsid w:val="0082130B"/>
    <w:rsid w:val="00822E38"/>
    <w:rsid w:val="00825F1B"/>
    <w:rsid w:val="00830421"/>
    <w:rsid w:val="00833035"/>
    <w:rsid w:val="00845DF1"/>
    <w:rsid w:val="0084656F"/>
    <w:rsid w:val="00860344"/>
    <w:rsid w:val="0086065C"/>
    <w:rsid w:val="008642E5"/>
    <w:rsid w:val="00870DEE"/>
    <w:rsid w:val="00870EB0"/>
    <w:rsid w:val="00872BD8"/>
    <w:rsid w:val="00875C37"/>
    <w:rsid w:val="0088133E"/>
    <w:rsid w:val="008858B1"/>
    <w:rsid w:val="00886C7D"/>
    <w:rsid w:val="00886E75"/>
    <w:rsid w:val="00891701"/>
    <w:rsid w:val="00893971"/>
    <w:rsid w:val="00893B8F"/>
    <w:rsid w:val="0089415B"/>
    <w:rsid w:val="00896CB6"/>
    <w:rsid w:val="008A49BB"/>
    <w:rsid w:val="008A4B3E"/>
    <w:rsid w:val="008B14D7"/>
    <w:rsid w:val="008B2A8F"/>
    <w:rsid w:val="008B3E86"/>
    <w:rsid w:val="008B56A4"/>
    <w:rsid w:val="008B686B"/>
    <w:rsid w:val="008C3031"/>
    <w:rsid w:val="008C45CA"/>
    <w:rsid w:val="008D2FC1"/>
    <w:rsid w:val="008E48A9"/>
    <w:rsid w:val="008F2C7D"/>
    <w:rsid w:val="008F3647"/>
    <w:rsid w:val="008F4675"/>
    <w:rsid w:val="008F611B"/>
    <w:rsid w:val="008F77D9"/>
    <w:rsid w:val="00901C23"/>
    <w:rsid w:val="0090208E"/>
    <w:rsid w:val="00902D33"/>
    <w:rsid w:val="009032C1"/>
    <w:rsid w:val="00904DC9"/>
    <w:rsid w:val="00907D30"/>
    <w:rsid w:val="009137B9"/>
    <w:rsid w:val="00913C3D"/>
    <w:rsid w:val="00915D87"/>
    <w:rsid w:val="00920E86"/>
    <w:rsid w:val="00921BBD"/>
    <w:rsid w:val="00921ECB"/>
    <w:rsid w:val="00930FDD"/>
    <w:rsid w:val="00932747"/>
    <w:rsid w:val="00940CC1"/>
    <w:rsid w:val="00942039"/>
    <w:rsid w:val="0094468F"/>
    <w:rsid w:val="0094758D"/>
    <w:rsid w:val="00951EDF"/>
    <w:rsid w:val="00952CFE"/>
    <w:rsid w:val="0095566A"/>
    <w:rsid w:val="00960B31"/>
    <w:rsid w:val="009718F7"/>
    <w:rsid w:val="00973504"/>
    <w:rsid w:val="00973805"/>
    <w:rsid w:val="00973C2B"/>
    <w:rsid w:val="00982194"/>
    <w:rsid w:val="00984F3D"/>
    <w:rsid w:val="00991B1D"/>
    <w:rsid w:val="00993689"/>
    <w:rsid w:val="009A4926"/>
    <w:rsid w:val="009B14DC"/>
    <w:rsid w:val="009B22DB"/>
    <w:rsid w:val="009B23F9"/>
    <w:rsid w:val="009B4B16"/>
    <w:rsid w:val="009B4F06"/>
    <w:rsid w:val="009B5FE9"/>
    <w:rsid w:val="009C02CD"/>
    <w:rsid w:val="009C07E2"/>
    <w:rsid w:val="009C139F"/>
    <w:rsid w:val="009C236A"/>
    <w:rsid w:val="009C27C0"/>
    <w:rsid w:val="009C341C"/>
    <w:rsid w:val="009C3E64"/>
    <w:rsid w:val="009C5103"/>
    <w:rsid w:val="009C56CD"/>
    <w:rsid w:val="009C7A45"/>
    <w:rsid w:val="009C7BDB"/>
    <w:rsid w:val="009C7D33"/>
    <w:rsid w:val="009D02FB"/>
    <w:rsid w:val="009D1ABF"/>
    <w:rsid w:val="009E135E"/>
    <w:rsid w:val="009E13AC"/>
    <w:rsid w:val="009E22FC"/>
    <w:rsid w:val="009E35ED"/>
    <w:rsid w:val="009E3CF4"/>
    <w:rsid w:val="009E46C5"/>
    <w:rsid w:val="009E5414"/>
    <w:rsid w:val="009E6583"/>
    <w:rsid w:val="009E773A"/>
    <w:rsid w:val="009F09C9"/>
    <w:rsid w:val="009F0EA2"/>
    <w:rsid w:val="009F1DBD"/>
    <w:rsid w:val="009F379F"/>
    <w:rsid w:val="009F4140"/>
    <w:rsid w:val="009F44D4"/>
    <w:rsid w:val="009F4CFA"/>
    <w:rsid w:val="00A02867"/>
    <w:rsid w:val="00A0796D"/>
    <w:rsid w:val="00A07BFD"/>
    <w:rsid w:val="00A1303E"/>
    <w:rsid w:val="00A13669"/>
    <w:rsid w:val="00A20520"/>
    <w:rsid w:val="00A20AD5"/>
    <w:rsid w:val="00A21E96"/>
    <w:rsid w:val="00A221F7"/>
    <w:rsid w:val="00A23C94"/>
    <w:rsid w:val="00A24FCD"/>
    <w:rsid w:val="00A311F9"/>
    <w:rsid w:val="00A31DA1"/>
    <w:rsid w:val="00A323B9"/>
    <w:rsid w:val="00A343FF"/>
    <w:rsid w:val="00A36D9C"/>
    <w:rsid w:val="00A40729"/>
    <w:rsid w:val="00A407FA"/>
    <w:rsid w:val="00A4205A"/>
    <w:rsid w:val="00A436D8"/>
    <w:rsid w:val="00A468A4"/>
    <w:rsid w:val="00A521F1"/>
    <w:rsid w:val="00A554B9"/>
    <w:rsid w:val="00A57429"/>
    <w:rsid w:val="00A60510"/>
    <w:rsid w:val="00A60AEA"/>
    <w:rsid w:val="00A618DA"/>
    <w:rsid w:val="00A6654A"/>
    <w:rsid w:val="00A6659D"/>
    <w:rsid w:val="00A72AA9"/>
    <w:rsid w:val="00A8098E"/>
    <w:rsid w:val="00A80AC4"/>
    <w:rsid w:val="00A81575"/>
    <w:rsid w:val="00A825FD"/>
    <w:rsid w:val="00A85E8E"/>
    <w:rsid w:val="00A8643D"/>
    <w:rsid w:val="00A90190"/>
    <w:rsid w:val="00A902F1"/>
    <w:rsid w:val="00A93387"/>
    <w:rsid w:val="00A937DE"/>
    <w:rsid w:val="00A97458"/>
    <w:rsid w:val="00A97829"/>
    <w:rsid w:val="00AA04F8"/>
    <w:rsid w:val="00AA29C6"/>
    <w:rsid w:val="00AA5D1D"/>
    <w:rsid w:val="00AA7E67"/>
    <w:rsid w:val="00AB679C"/>
    <w:rsid w:val="00AB70FD"/>
    <w:rsid w:val="00AC0267"/>
    <w:rsid w:val="00AC087E"/>
    <w:rsid w:val="00AC583E"/>
    <w:rsid w:val="00AC72DA"/>
    <w:rsid w:val="00AE19E1"/>
    <w:rsid w:val="00AE5E5B"/>
    <w:rsid w:val="00AF003E"/>
    <w:rsid w:val="00AF245B"/>
    <w:rsid w:val="00B02457"/>
    <w:rsid w:val="00B05FA6"/>
    <w:rsid w:val="00B07DFA"/>
    <w:rsid w:val="00B118EC"/>
    <w:rsid w:val="00B119BA"/>
    <w:rsid w:val="00B11AAA"/>
    <w:rsid w:val="00B12976"/>
    <w:rsid w:val="00B13A55"/>
    <w:rsid w:val="00B166B3"/>
    <w:rsid w:val="00B16BB4"/>
    <w:rsid w:val="00B174B9"/>
    <w:rsid w:val="00B17C59"/>
    <w:rsid w:val="00B26750"/>
    <w:rsid w:val="00B27CB1"/>
    <w:rsid w:val="00B351FD"/>
    <w:rsid w:val="00B35F99"/>
    <w:rsid w:val="00B36A27"/>
    <w:rsid w:val="00B40EC3"/>
    <w:rsid w:val="00B4140C"/>
    <w:rsid w:val="00B41CFB"/>
    <w:rsid w:val="00B57778"/>
    <w:rsid w:val="00B62497"/>
    <w:rsid w:val="00B625B6"/>
    <w:rsid w:val="00B63CE2"/>
    <w:rsid w:val="00B65CF3"/>
    <w:rsid w:val="00B65F23"/>
    <w:rsid w:val="00B7428B"/>
    <w:rsid w:val="00B80E5F"/>
    <w:rsid w:val="00B80FD0"/>
    <w:rsid w:val="00B825E0"/>
    <w:rsid w:val="00B83B5F"/>
    <w:rsid w:val="00B84594"/>
    <w:rsid w:val="00B87FC7"/>
    <w:rsid w:val="00B908A4"/>
    <w:rsid w:val="00B92FA5"/>
    <w:rsid w:val="00B94448"/>
    <w:rsid w:val="00B95DE8"/>
    <w:rsid w:val="00BA0A68"/>
    <w:rsid w:val="00BA2655"/>
    <w:rsid w:val="00BA2C4F"/>
    <w:rsid w:val="00BA3B88"/>
    <w:rsid w:val="00BA3C31"/>
    <w:rsid w:val="00BA56DF"/>
    <w:rsid w:val="00BA7A51"/>
    <w:rsid w:val="00BB08E6"/>
    <w:rsid w:val="00BB110F"/>
    <w:rsid w:val="00BB1CAB"/>
    <w:rsid w:val="00BB5799"/>
    <w:rsid w:val="00BC11C0"/>
    <w:rsid w:val="00BC237D"/>
    <w:rsid w:val="00BC2A81"/>
    <w:rsid w:val="00BC30A6"/>
    <w:rsid w:val="00BC36E2"/>
    <w:rsid w:val="00BC38F1"/>
    <w:rsid w:val="00BD1C3E"/>
    <w:rsid w:val="00BD5108"/>
    <w:rsid w:val="00BD604E"/>
    <w:rsid w:val="00BD66D1"/>
    <w:rsid w:val="00BD69BE"/>
    <w:rsid w:val="00BD6B04"/>
    <w:rsid w:val="00BD7E92"/>
    <w:rsid w:val="00BE3BF5"/>
    <w:rsid w:val="00BE5107"/>
    <w:rsid w:val="00BF17F7"/>
    <w:rsid w:val="00BF21D2"/>
    <w:rsid w:val="00BF26E0"/>
    <w:rsid w:val="00BF3E6D"/>
    <w:rsid w:val="00BF613D"/>
    <w:rsid w:val="00C017F2"/>
    <w:rsid w:val="00C01D15"/>
    <w:rsid w:val="00C055FD"/>
    <w:rsid w:val="00C059AD"/>
    <w:rsid w:val="00C063CC"/>
    <w:rsid w:val="00C15390"/>
    <w:rsid w:val="00C179C8"/>
    <w:rsid w:val="00C2044F"/>
    <w:rsid w:val="00C211B0"/>
    <w:rsid w:val="00C226E0"/>
    <w:rsid w:val="00C227E2"/>
    <w:rsid w:val="00C2318A"/>
    <w:rsid w:val="00C23350"/>
    <w:rsid w:val="00C2460B"/>
    <w:rsid w:val="00C25DC1"/>
    <w:rsid w:val="00C327BE"/>
    <w:rsid w:val="00C37F38"/>
    <w:rsid w:val="00C434C8"/>
    <w:rsid w:val="00C43B00"/>
    <w:rsid w:val="00C50875"/>
    <w:rsid w:val="00C5099B"/>
    <w:rsid w:val="00C6055E"/>
    <w:rsid w:val="00C6161E"/>
    <w:rsid w:val="00C63701"/>
    <w:rsid w:val="00C63F8B"/>
    <w:rsid w:val="00C64CCD"/>
    <w:rsid w:val="00C65E41"/>
    <w:rsid w:val="00C67A83"/>
    <w:rsid w:val="00C712DD"/>
    <w:rsid w:val="00C73983"/>
    <w:rsid w:val="00C77278"/>
    <w:rsid w:val="00C80589"/>
    <w:rsid w:val="00C81E8B"/>
    <w:rsid w:val="00C827C8"/>
    <w:rsid w:val="00C85E89"/>
    <w:rsid w:val="00C95135"/>
    <w:rsid w:val="00C958F5"/>
    <w:rsid w:val="00CA13F1"/>
    <w:rsid w:val="00CA6AFA"/>
    <w:rsid w:val="00CB3012"/>
    <w:rsid w:val="00CB4593"/>
    <w:rsid w:val="00CB746E"/>
    <w:rsid w:val="00CC03A0"/>
    <w:rsid w:val="00CC0774"/>
    <w:rsid w:val="00CC4E82"/>
    <w:rsid w:val="00CC5267"/>
    <w:rsid w:val="00CD0604"/>
    <w:rsid w:val="00CD08FB"/>
    <w:rsid w:val="00CD3ED7"/>
    <w:rsid w:val="00CE3A7B"/>
    <w:rsid w:val="00CE71CE"/>
    <w:rsid w:val="00CE737F"/>
    <w:rsid w:val="00CE74D3"/>
    <w:rsid w:val="00CF1D00"/>
    <w:rsid w:val="00CF45F1"/>
    <w:rsid w:val="00CF4E02"/>
    <w:rsid w:val="00CF60F1"/>
    <w:rsid w:val="00CF713A"/>
    <w:rsid w:val="00D028F6"/>
    <w:rsid w:val="00D04E19"/>
    <w:rsid w:val="00D15E3F"/>
    <w:rsid w:val="00D161A9"/>
    <w:rsid w:val="00D16BE5"/>
    <w:rsid w:val="00D23367"/>
    <w:rsid w:val="00D23785"/>
    <w:rsid w:val="00D27645"/>
    <w:rsid w:val="00D32BCB"/>
    <w:rsid w:val="00D3335C"/>
    <w:rsid w:val="00D35441"/>
    <w:rsid w:val="00D36B79"/>
    <w:rsid w:val="00D45647"/>
    <w:rsid w:val="00D45F58"/>
    <w:rsid w:val="00D469D2"/>
    <w:rsid w:val="00D52C52"/>
    <w:rsid w:val="00D53C2D"/>
    <w:rsid w:val="00D57246"/>
    <w:rsid w:val="00D60C2F"/>
    <w:rsid w:val="00D612F5"/>
    <w:rsid w:val="00D71E19"/>
    <w:rsid w:val="00D737B4"/>
    <w:rsid w:val="00D82FB8"/>
    <w:rsid w:val="00D8342F"/>
    <w:rsid w:val="00D8382B"/>
    <w:rsid w:val="00D839AD"/>
    <w:rsid w:val="00D849A8"/>
    <w:rsid w:val="00D851FA"/>
    <w:rsid w:val="00D913DC"/>
    <w:rsid w:val="00D9148D"/>
    <w:rsid w:val="00D9159A"/>
    <w:rsid w:val="00DA35E2"/>
    <w:rsid w:val="00DA66C5"/>
    <w:rsid w:val="00DB08A2"/>
    <w:rsid w:val="00DB1291"/>
    <w:rsid w:val="00DB3879"/>
    <w:rsid w:val="00DB5F49"/>
    <w:rsid w:val="00DB7BA9"/>
    <w:rsid w:val="00DC00C4"/>
    <w:rsid w:val="00DC41AB"/>
    <w:rsid w:val="00DC5475"/>
    <w:rsid w:val="00DC7A27"/>
    <w:rsid w:val="00DD0660"/>
    <w:rsid w:val="00DD169D"/>
    <w:rsid w:val="00DD2C12"/>
    <w:rsid w:val="00DD3336"/>
    <w:rsid w:val="00DD578B"/>
    <w:rsid w:val="00DD69D7"/>
    <w:rsid w:val="00DD6DCD"/>
    <w:rsid w:val="00DE0136"/>
    <w:rsid w:val="00DE0C73"/>
    <w:rsid w:val="00DE3125"/>
    <w:rsid w:val="00DE429A"/>
    <w:rsid w:val="00DE57C7"/>
    <w:rsid w:val="00DE5E00"/>
    <w:rsid w:val="00DE696E"/>
    <w:rsid w:val="00DF232E"/>
    <w:rsid w:val="00DF388E"/>
    <w:rsid w:val="00DF3D06"/>
    <w:rsid w:val="00DF6553"/>
    <w:rsid w:val="00E00CA3"/>
    <w:rsid w:val="00E01D0E"/>
    <w:rsid w:val="00E04DF4"/>
    <w:rsid w:val="00E06EF9"/>
    <w:rsid w:val="00E15669"/>
    <w:rsid w:val="00E179FC"/>
    <w:rsid w:val="00E20BFA"/>
    <w:rsid w:val="00E20FE9"/>
    <w:rsid w:val="00E21AF0"/>
    <w:rsid w:val="00E24B4D"/>
    <w:rsid w:val="00E3160E"/>
    <w:rsid w:val="00E321DA"/>
    <w:rsid w:val="00E32B0C"/>
    <w:rsid w:val="00E3542A"/>
    <w:rsid w:val="00E40551"/>
    <w:rsid w:val="00E41EF2"/>
    <w:rsid w:val="00E46F10"/>
    <w:rsid w:val="00E47606"/>
    <w:rsid w:val="00E506BA"/>
    <w:rsid w:val="00E5533E"/>
    <w:rsid w:val="00E61DFE"/>
    <w:rsid w:val="00E62FBA"/>
    <w:rsid w:val="00E64176"/>
    <w:rsid w:val="00E65C2A"/>
    <w:rsid w:val="00E72687"/>
    <w:rsid w:val="00E74DAB"/>
    <w:rsid w:val="00E80BA6"/>
    <w:rsid w:val="00E9076F"/>
    <w:rsid w:val="00E960A1"/>
    <w:rsid w:val="00E970F3"/>
    <w:rsid w:val="00E979C8"/>
    <w:rsid w:val="00E97DA4"/>
    <w:rsid w:val="00EA1C80"/>
    <w:rsid w:val="00EA33B7"/>
    <w:rsid w:val="00EA3CEF"/>
    <w:rsid w:val="00EA631A"/>
    <w:rsid w:val="00EB1BD6"/>
    <w:rsid w:val="00EC0242"/>
    <w:rsid w:val="00EC1234"/>
    <w:rsid w:val="00ED1D8D"/>
    <w:rsid w:val="00ED5929"/>
    <w:rsid w:val="00EE274F"/>
    <w:rsid w:val="00EE37DA"/>
    <w:rsid w:val="00EE5769"/>
    <w:rsid w:val="00EF2EF6"/>
    <w:rsid w:val="00EF5BEC"/>
    <w:rsid w:val="00F008C6"/>
    <w:rsid w:val="00F00D7C"/>
    <w:rsid w:val="00F1092E"/>
    <w:rsid w:val="00F121C8"/>
    <w:rsid w:val="00F12F90"/>
    <w:rsid w:val="00F1741A"/>
    <w:rsid w:val="00F17DF5"/>
    <w:rsid w:val="00F22438"/>
    <w:rsid w:val="00F23123"/>
    <w:rsid w:val="00F231EB"/>
    <w:rsid w:val="00F3630C"/>
    <w:rsid w:val="00F36DBF"/>
    <w:rsid w:val="00F40A28"/>
    <w:rsid w:val="00F43B65"/>
    <w:rsid w:val="00F448D6"/>
    <w:rsid w:val="00F471DE"/>
    <w:rsid w:val="00F47C33"/>
    <w:rsid w:val="00F52B25"/>
    <w:rsid w:val="00F57AAB"/>
    <w:rsid w:val="00F6394C"/>
    <w:rsid w:val="00F666F5"/>
    <w:rsid w:val="00F743CF"/>
    <w:rsid w:val="00F74829"/>
    <w:rsid w:val="00F800F9"/>
    <w:rsid w:val="00F81065"/>
    <w:rsid w:val="00F825A1"/>
    <w:rsid w:val="00F829D2"/>
    <w:rsid w:val="00F84D56"/>
    <w:rsid w:val="00F84F64"/>
    <w:rsid w:val="00F86179"/>
    <w:rsid w:val="00F90545"/>
    <w:rsid w:val="00F90759"/>
    <w:rsid w:val="00F91D5B"/>
    <w:rsid w:val="00F95052"/>
    <w:rsid w:val="00F9528C"/>
    <w:rsid w:val="00F962B6"/>
    <w:rsid w:val="00FA0036"/>
    <w:rsid w:val="00FA046D"/>
    <w:rsid w:val="00FA0D4F"/>
    <w:rsid w:val="00FA5103"/>
    <w:rsid w:val="00FB12B9"/>
    <w:rsid w:val="00FB3DF0"/>
    <w:rsid w:val="00FB5AA7"/>
    <w:rsid w:val="00FC0CAB"/>
    <w:rsid w:val="00FC14E6"/>
    <w:rsid w:val="00FC1DB8"/>
    <w:rsid w:val="00FC3FE4"/>
    <w:rsid w:val="00FC6C93"/>
    <w:rsid w:val="00FD204E"/>
    <w:rsid w:val="00FD4B8A"/>
    <w:rsid w:val="00FD4CD0"/>
    <w:rsid w:val="00FD4E48"/>
    <w:rsid w:val="00FE072B"/>
    <w:rsid w:val="00FE24B6"/>
    <w:rsid w:val="00FE501A"/>
    <w:rsid w:val="00FE57B2"/>
    <w:rsid w:val="00FE5B3F"/>
    <w:rsid w:val="00FE6FBF"/>
    <w:rsid w:val="00FE7FF3"/>
    <w:rsid w:val="00FF0177"/>
    <w:rsid w:val="00FF099B"/>
    <w:rsid w:val="00FF0F66"/>
    <w:rsid w:val="00FF4C5D"/>
    <w:rsid w:val="00FF4F1A"/>
    <w:rsid w:val="00FF6128"/>
    <w:rsid w:val="00FF6AE5"/>
    <w:rsid w:val="00FF6D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DE3DF"/>
  <w15:chartTrackingRefBased/>
  <w15:docId w15:val="{622B4D66-9ED6-4838-A2C5-3C880AD3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HAns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825"/>
    <w:pPr>
      <w:spacing w:after="160" w:line="259" w:lineRule="auto"/>
    </w:pPr>
    <w:rPr>
      <w:rFonts w:cstheme="minorBidi"/>
      <w:sz w:val="22"/>
      <w:szCs w:val="22"/>
      <w:lang w:val="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825"/>
    <w:pPr>
      <w:ind w:left="720"/>
      <w:contextualSpacing/>
    </w:pPr>
  </w:style>
  <w:style w:type="character" w:styleId="CommentReference">
    <w:name w:val="annotation reference"/>
    <w:basedOn w:val="DefaultParagraphFont"/>
    <w:uiPriority w:val="99"/>
    <w:semiHidden/>
    <w:unhideWhenUsed/>
    <w:rsid w:val="00401825"/>
    <w:rPr>
      <w:sz w:val="16"/>
      <w:szCs w:val="16"/>
    </w:rPr>
  </w:style>
  <w:style w:type="paragraph" w:styleId="CommentText">
    <w:name w:val="annotation text"/>
    <w:basedOn w:val="Normal"/>
    <w:link w:val="CommentTextChar"/>
    <w:uiPriority w:val="99"/>
    <w:semiHidden/>
    <w:unhideWhenUsed/>
    <w:rsid w:val="00401825"/>
    <w:pPr>
      <w:spacing w:line="240" w:lineRule="auto"/>
    </w:pPr>
    <w:rPr>
      <w:sz w:val="20"/>
      <w:szCs w:val="20"/>
    </w:rPr>
  </w:style>
  <w:style w:type="character" w:customStyle="1" w:styleId="CommentTextChar">
    <w:name w:val="Comment Text Char"/>
    <w:basedOn w:val="DefaultParagraphFont"/>
    <w:link w:val="CommentText"/>
    <w:uiPriority w:val="99"/>
    <w:semiHidden/>
    <w:rsid w:val="00401825"/>
    <w:rPr>
      <w:rFonts w:cstheme="minorBidi"/>
      <w:sz w:val="20"/>
      <w:szCs w:val="20"/>
      <w:lang w:val="nl-BE"/>
    </w:rPr>
  </w:style>
  <w:style w:type="character" w:styleId="Hyperlink">
    <w:name w:val="Hyperlink"/>
    <w:basedOn w:val="DefaultParagraphFont"/>
    <w:uiPriority w:val="99"/>
    <w:semiHidden/>
    <w:unhideWhenUsed/>
    <w:rsid w:val="00401825"/>
    <w:rPr>
      <w:color w:val="0000FF"/>
      <w:u w:val="single"/>
    </w:rPr>
  </w:style>
  <w:style w:type="paragraph" w:styleId="BalloonText">
    <w:name w:val="Balloon Text"/>
    <w:basedOn w:val="Normal"/>
    <w:link w:val="BalloonTextChar"/>
    <w:uiPriority w:val="99"/>
    <w:semiHidden/>
    <w:unhideWhenUsed/>
    <w:rsid w:val="004018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1825"/>
    <w:rPr>
      <w:rFonts w:ascii="Segoe UI" w:hAnsi="Segoe UI" w:cs="Segoe UI"/>
      <w:sz w:val="18"/>
      <w:szCs w:val="18"/>
      <w:lang w:val="nl-BE"/>
    </w:rPr>
  </w:style>
  <w:style w:type="paragraph" w:styleId="CommentSubject">
    <w:name w:val="annotation subject"/>
    <w:basedOn w:val="CommentText"/>
    <w:next w:val="CommentText"/>
    <w:link w:val="CommentSubjectChar"/>
    <w:uiPriority w:val="99"/>
    <w:semiHidden/>
    <w:unhideWhenUsed/>
    <w:rsid w:val="00292A38"/>
    <w:rPr>
      <w:b/>
      <w:bCs/>
    </w:rPr>
  </w:style>
  <w:style w:type="character" w:customStyle="1" w:styleId="CommentSubjectChar">
    <w:name w:val="Comment Subject Char"/>
    <w:basedOn w:val="CommentTextChar"/>
    <w:link w:val="CommentSubject"/>
    <w:uiPriority w:val="99"/>
    <w:semiHidden/>
    <w:rsid w:val="00292A38"/>
    <w:rPr>
      <w:rFonts w:cstheme="minorBidi"/>
      <w:b/>
      <w:bCs/>
      <w:sz w:val="20"/>
      <w:szCs w:val="20"/>
      <w:lang w:val="nl-BE"/>
    </w:rPr>
  </w:style>
  <w:style w:type="paragraph" w:styleId="Header">
    <w:name w:val="header"/>
    <w:basedOn w:val="Normal"/>
    <w:link w:val="HeaderChar"/>
    <w:uiPriority w:val="99"/>
    <w:unhideWhenUsed/>
    <w:rsid w:val="003370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70A1"/>
    <w:rPr>
      <w:rFonts w:cstheme="minorBidi"/>
      <w:sz w:val="22"/>
      <w:szCs w:val="22"/>
      <w:lang w:val="nl-BE"/>
    </w:rPr>
  </w:style>
  <w:style w:type="paragraph" w:styleId="Footer">
    <w:name w:val="footer"/>
    <w:basedOn w:val="Normal"/>
    <w:link w:val="FooterChar"/>
    <w:uiPriority w:val="99"/>
    <w:unhideWhenUsed/>
    <w:rsid w:val="003370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70A1"/>
    <w:rPr>
      <w:rFonts w:cstheme="minorBidi"/>
      <w:sz w:val="22"/>
      <w:szCs w:val="22"/>
      <w:lang w:val="nl-BE"/>
    </w:rPr>
  </w:style>
  <w:style w:type="character" w:styleId="FollowedHyperlink">
    <w:name w:val="FollowedHyperlink"/>
    <w:basedOn w:val="DefaultParagraphFont"/>
    <w:uiPriority w:val="99"/>
    <w:semiHidden/>
    <w:unhideWhenUsed/>
    <w:rsid w:val="008F61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l.wikipedia.org/wiki/Coronavirida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nl.wikipedia.org/wiki/SARS-CoV-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2829</Words>
  <Characters>15560</Characters>
  <Application>Microsoft Office Word</Application>
  <DocSecurity>0</DocSecurity>
  <Lines>129</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Thilo Janssen</dc:creator>
  <cp:lastModifiedBy>Tanja Vanmeenen (EFBH)</cp:lastModifiedBy>
  <cp:revision>5</cp:revision>
  <cp:lastPrinted>2020-05-13T14:04:00Z</cp:lastPrinted>
  <dcterms:created xsi:type="dcterms:W3CDTF">2020-05-14T05:40:00Z</dcterms:created>
  <dcterms:modified xsi:type="dcterms:W3CDTF">2020-06-08T09:15:00Z</dcterms:modified>
</cp:coreProperties>
</file>