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C98362" w14:textId="77777777" w:rsidR="007C0EA5" w:rsidRDefault="00FE69EA" w:rsidP="004C44F4">
      <w:pPr>
        <w:widowControl w:val="0"/>
        <w:autoSpaceDE w:val="0"/>
        <w:autoSpaceDN w:val="0"/>
        <w:adjustRightInd w:val="0"/>
        <w:ind w:right="-5"/>
        <w:jc w:val="both"/>
        <w:outlineLvl w:val="0"/>
        <w:rPr>
          <w:rFonts w:ascii="Arial" w:hAnsi="Arial" w:cs="Arial"/>
          <w:b/>
          <w:lang w:val="en-GB"/>
        </w:rPr>
      </w:pPr>
      <w:r>
        <w:rPr>
          <w:noProof/>
          <w:lang w:val="nl-BE" w:eastAsia="nl-BE"/>
        </w:rPr>
        <w:drawing>
          <wp:anchor distT="0" distB="0" distL="114300" distR="114300" simplePos="0" relativeHeight="251658240" behindDoc="0" locked="0" layoutInCell="1" allowOverlap="1" wp14:anchorId="5F1E1B37" wp14:editId="2106F056">
            <wp:simplePos x="0" y="0"/>
            <wp:positionH relativeFrom="column">
              <wp:posOffset>-571500</wp:posOffset>
            </wp:positionH>
            <wp:positionV relativeFrom="paragraph">
              <wp:posOffset>-571500</wp:posOffset>
            </wp:positionV>
            <wp:extent cx="3204210" cy="1455420"/>
            <wp:effectExtent l="0" t="0" r="0" b="0"/>
            <wp:wrapNone/>
            <wp:docPr id="2" name="Afbeelding 2" descr="logo efbww_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999025" name="Picture 2" descr="logo efbww_l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3204210" cy="1455420"/>
                    </a:xfrm>
                    <a:prstGeom prst="rect">
                      <a:avLst/>
                    </a:prstGeom>
                    <a:noFill/>
                  </pic:spPr>
                </pic:pic>
              </a:graphicData>
            </a:graphic>
            <wp14:sizeRelH relativeFrom="page">
              <wp14:pctWidth>0</wp14:pctWidth>
            </wp14:sizeRelH>
            <wp14:sizeRelV relativeFrom="page">
              <wp14:pctHeight>0</wp14:pctHeight>
            </wp14:sizeRelV>
          </wp:anchor>
        </w:drawing>
      </w:r>
      <w:r w:rsidR="004E1890">
        <w:rPr>
          <w:rFonts w:ascii="Arial" w:hAnsi="Arial" w:cs="Arial"/>
          <w:b/>
          <w:bCs/>
          <w:lang w:val="nl-NL"/>
        </w:rPr>
        <w:tab/>
      </w:r>
    </w:p>
    <w:p w14:paraId="0BC223BE" w14:textId="77777777" w:rsidR="007C0EA5" w:rsidRDefault="007C0EA5" w:rsidP="004C44F4">
      <w:pPr>
        <w:widowControl w:val="0"/>
        <w:autoSpaceDE w:val="0"/>
        <w:autoSpaceDN w:val="0"/>
        <w:adjustRightInd w:val="0"/>
        <w:ind w:right="-5"/>
        <w:jc w:val="both"/>
        <w:outlineLvl w:val="0"/>
        <w:rPr>
          <w:rFonts w:ascii="Arial" w:hAnsi="Arial" w:cs="Arial"/>
          <w:b/>
          <w:lang w:val="en-GB"/>
        </w:rPr>
      </w:pPr>
    </w:p>
    <w:p w14:paraId="31E1DB09" w14:textId="77777777" w:rsidR="007C0EA5" w:rsidRDefault="007C0EA5" w:rsidP="004C44F4">
      <w:pPr>
        <w:widowControl w:val="0"/>
        <w:autoSpaceDE w:val="0"/>
        <w:autoSpaceDN w:val="0"/>
        <w:adjustRightInd w:val="0"/>
        <w:ind w:right="-5"/>
        <w:jc w:val="both"/>
        <w:outlineLvl w:val="0"/>
        <w:rPr>
          <w:rFonts w:ascii="Arial" w:hAnsi="Arial" w:cs="Arial"/>
          <w:b/>
          <w:lang w:val="en-GB"/>
        </w:rPr>
      </w:pPr>
    </w:p>
    <w:p w14:paraId="409CA5C9" w14:textId="77777777" w:rsidR="007C0EA5" w:rsidRDefault="007C0EA5" w:rsidP="004C44F4">
      <w:pPr>
        <w:widowControl w:val="0"/>
        <w:autoSpaceDE w:val="0"/>
        <w:autoSpaceDN w:val="0"/>
        <w:adjustRightInd w:val="0"/>
        <w:ind w:right="-5"/>
        <w:jc w:val="both"/>
        <w:outlineLvl w:val="0"/>
        <w:rPr>
          <w:rFonts w:ascii="Arial" w:hAnsi="Arial" w:cs="Arial"/>
          <w:b/>
          <w:lang w:val="en-GB"/>
        </w:rPr>
      </w:pPr>
    </w:p>
    <w:p w14:paraId="57234630" w14:textId="77777777" w:rsidR="00907137" w:rsidRDefault="00FE69EA" w:rsidP="00907137">
      <w:pPr>
        <w:pStyle w:val="Default"/>
        <w:rPr>
          <w:rFonts w:cs="Arial"/>
          <w:lang w:val="nl-NL"/>
        </w:rPr>
      </w:pPr>
      <w:r>
        <w:rPr>
          <w:rFonts w:cs="Arial"/>
          <w:lang w:val="nl-NL"/>
        </w:rPr>
        <w:t xml:space="preserve"> </w:t>
      </w:r>
    </w:p>
    <w:p w14:paraId="28A928A4" w14:textId="77777777" w:rsidR="00CA37F3" w:rsidRDefault="00CA37F3" w:rsidP="00907137">
      <w:pPr>
        <w:pStyle w:val="Default"/>
        <w:rPr>
          <w:rFonts w:cs="Arial"/>
          <w:lang w:val="en-GB"/>
        </w:rPr>
      </w:pPr>
    </w:p>
    <w:p w14:paraId="7F48797F" w14:textId="77777777" w:rsidR="006C29CB" w:rsidRPr="00183899" w:rsidRDefault="006C29CB" w:rsidP="006C29CB">
      <w:pPr>
        <w:pStyle w:val="Default"/>
        <w:jc w:val="both"/>
        <w:rPr>
          <w:rFonts w:cs="Arial"/>
          <w:lang w:val="en-GB"/>
        </w:rPr>
      </w:pPr>
    </w:p>
    <w:p w14:paraId="1A6A0A14" w14:textId="77777777" w:rsidR="006C29CB" w:rsidRPr="00CA37F3" w:rsidRDefault="00FE69EA" w:rsidP="006C29CB">
      <w:pPr>
        <w:pStyle w:val="Default"/>
        <w:jc w:val="center"/>
        <w:rPr>
          <w:sz w:val="28"/>
          <w:szCs w:val="28"/>
        </w:rPr>
      </w:pPr>
      <w:r w:rsidRPr="00183899">
        <w:rPr>
          <w:b/>
          <w:bCs/>
          <w:sz w:val="28"/>
          <w:szCs w:val="28"/>
          <w:lang w:val="nl-NL"/>
        </w:rPr>
        <w:t>Eerste EFBH-reactie op de COVID-19-crisis</w:t>
      </w:r>
    </w:p>
    <w:p w14:paraId="71116E5D" w14:textId="77777777" w:rsidR="006C29CB" w:rsidRPr="00CA37F3" w:rsidRDefault="006C29CB" w:rsidP="006C29CB">
      <w:pPr>
        <w:pStyle w:val="Default"/>
        <w:jc w:val="center"/>
        <w:rPr>
          <w:b/>
          <w:bCs/>
          <w:sz w:val="28"/>
          <w:szCs w:val="28"/>
        </w:rPr>
      </w:pPr>
    </w:p>
    <w:p w14:paraId="44C3E277" w14:textId="77777777" w:rsidR="006C29CB" w:rsidRPr="00CA37F3" w:rsidRDefault="00FE69EA" w:rsidP="006C29CB">
      <w:pPr>
        <w:pStyle w:val="Default"/>
        <w:jc w:val="center"/>
        <w:rPr>
          <w:b/>
          <w:bCs/>
          <w:sz w:val="28"/>
          <w:szCs w:val="28"/>
        </w:rPr>
      </w:pPr>
      <w:r w:rsidRPr="00183899">
        <w:rPr>
          <w:b/>
          <w:bCs/>
          <w:sz w:val="28"/>
          <w:szCs w:val="28"/>
          <w:lang w:val="nl-NL"/>
        </w:rPr>
        <w:t>Motie aan het Uitvoerend Bestuur van de EFBH</w:t>
      </w:r>
    </w:p>
    <w:p w14:paraId="29D3D2A9" w14:textId="77777777" w:rsidR="006C29CB" w:rsidRPr="00CA37F3" w:rsidRDefault="006C29CB" w:rsidP="006C29CB">
      <w:pPr>
        <w:pStyle w:val="Default"/>
        <w:jc w:val="both"/>
        <w:rPr>
          <w:b/>
          <w:bCs/>
          <w:sz w:val="23"/>
          <w:szCs w:val="23"/>
        </w:rPr>
      </w:pPr>
    </w:p>
    <w:p w14:paraId="3E4578A8" w14:textId="77777777" w:rsidR="006C29CB" w:rsidRPr="00CA37F3" w:rsidRDefault="006C29CB" w:rsidP="006C29CB">
      <w:pPr>
        <w:pStyle w:val="Default"/>
        <w:jc w:val="both"/>
      </w:pPr>
    </w:p>
    <w:p w14:paraId="0A32A804" w14:textId="77777777" w:rsidR="006C29CB" w:rsidRPr="00CA37F3" w:rsidRDefault="00FE69EA" w:rsidP="006C29CB">
      <w:pPr>
        <w:pStyle w:val="Default"/>
        <w:jc w:val="both"/>
      </w:pPr>
      <w:r w:rsidRPr="00CA37F3">
        <w:t xml:space="preserve">De COVID-19-crisis is uitgemond in een Europese en wereldwijde gezondheidscrisis. De meeste landen zijn bezig met een soort "opsluiting" of zitten in een complete </w:t>
      </w:r>
      <w:proofErr w:type="spellStart"/>
      <w:r w:rsidRPr="00CA37F3">
        <w:t>lockdown</w:t>
      </w:r>
      <w:proofErr w:type="spellEnd"/>
      <w:r w:rsidRPr="00CA37F3">
        <w:t xml:space="preserve">. De crisis dreigt uit te lopen op een diepe sociale en economische crisis en het debat over de crisismaatregelen (ook voor erna) wordt steeds </w:t>
      </w:r>
      <w:proofErr w:type="gramStart"/>
      <w:r w:rsidRPr="00CA37F3">
        <w:t>politieker</w:t>
      </w:r>
      <w:proofErr w:type="gramEnd"/>
      <w:r w:rsidRPr="00CA37F3">
        <w:t>. De EFBH roept op tot een paradigmaverschuiving op basis van een sociale Green Deal voor de EU, d.w.z. we hebben meer en voortdurende investeringen nodig in de Europese infrastructuur en in de ecologische en sociale transformatie van de Europese economie. Geen enkele werknemer mag in de steek gelaten worden!</w:t>
      </w:r>
    </w:p>
    <w:p w14:paraId="546452E8" w14:textId="77777777" w:rsidR="006C29CB" w:rsidRPr="00CA37F3" w:rsidRDefault="006C29CB" w:rsidP="006C29CB">
      <w:pPr>
        <w:pStyle w:val="Default"/>
        <w:jc w:val="both"/>
        <w:rPr>
          <w:b/>
          <w:bCs/>
          <w:i/>
          <w:iCs/>
          <w:sz w:val="20"/>
          <w:szCs w:val="20"/>
        </w:rPr>
      </w:pPr>
    </w:p>
    <w:p w14:paraId="27CD63A0" w14:textId="77777777" w:rsidR="007633A1" w:rsidRPr="00CA37F3" w:rsidRDefault="007633A1" w:rsidP="006C29CB">
      <w:pPr>
        <w:pStyle w:val="Default"/>
        <w:jc w:val="both"/>
        <w:rPr>
          <w:b/>
          <w:bCs/>
          <w:i/>
          <w:iCs/>
          <w:sz w:val="20"/>
          <w:szCs w:val="20"/>
        </w:rPr>
      </w:pPr>
    </w:p>
    <w:p w14:paraId="0D73C6B2" w14:textId="259963C6" w:rsidR="006C29CB" w:rsidRPr="00CA37F3" w:rsidRDefault="00FE69EA" w:rsidP="006C29CB">
      <w:pPr>
        <w:pStyle w:val="Default"/>
        <w:jc w:val="both"/>
        <w:rPr>
          <w:b/>
          <w:bCs/>
          <w:i/>
          <w:iCs/>
        </w:rPr>
      </w:pPr>
      <w:r w:rsidRPr="00183899">
        <w:rPr>
          <w:b/>
          <w:bCs/>
          <w:i/>
          <w:iCs/>
          <w:lang w:val="nl-NL"/>
        </w:rPr>
        <w:t>Gezondheid gaat voor winst!</w:t>
      </w:r>
    </w:p>
    <w:p w14:paraId="2D9A5EC6" w14:textId="77777777" w:rsidR="006C29CB" w:rsidRPr="00CA37F3" w:rsidRDefault="006C29CB" w:rsidP="006C29CB">
      <w:pPr>
        <w:pStyle w:val="Default"/>
        <w:jc w:val="both"/>
        <w:rPr>
          <w:sz w:val="20"/>
          <w:szCs w:val="20"/>
        </w:rPr>
      </w:pPr>
    </w:p>
    <w:p w14:paraId="1632B00B" w14:textId="08957042" w:rsidR="006C29CB" w:rsidRPr="00CA37F3" w:rsidRDefault="00FE69EA" w:rsidP="006C29CB">
      <w:pPr>
        <w:pStyle w:val="Default"/>
        <w:jc w:val="both"/>
      </w:pPr>
      <w:r w:rsidRPr="00CA37F3">
        <w:t>De veiligheid en gezondheid van de werknemers en hun gezinnen, van alle burgers, hebben de hoogste prioriteit.</w:t>
      </w:r>
    </w:p>
    <w:p w14:paraId="31984EDE" w14:textId="77777777" w:rsidR="006C29CB" w:rsidRPr="00CA37F3" w:rsidRDefault="006C29CB" w:rsidP="006C29CB">
      <w:pPr>
        <w:pStyle w:val="Default"/>
        <w:jc w:val="both"/>
      </w:pPr>
    </w:p>
    <w:p w14:paraId="3B166F51" w14:textId="680058D5" w:rsidR="006C29CB" w:rsidRPr="00CA37F3" w:rsidRDefault="00FE69EA" w:rsidP="006C29CB">
      <w:pPr>
        <w:pStyle w:val="Default"/>
        <w:jc w:val="both"/>
      </w:pPr>
      <w:r w:rsidRPr="00CA37F3">
        <w:t>De EFBH en haar aangesloten bonden maken zich grote zorgen over het feit dat veel werknemers in onze sectoren:</w:t>
      </w:r>
    </w:p>
    <w:p w14:paraId="66B95A01" w14:textId="705CE0CE" w:rsidR="006C29CB" w:rsidRPr="00A95926" w:rsidRDefault="00FE69EA" w:rsidP="00CA37F3">
      <w:pPr>
        <w:pStyle w:val="Default"/>
        <w:numPr>
          <w:ilvl w:val="0"/>
          <w:numId w:val="6"/>
        </w:numPr>
        <w:ind w:left="714" w:hanging="357"/>
        <w:jc w:val="both"/>
      </w:pPr>
      <w:r w:rsidRPr="00A95926">
        <w:rPr>
          <w:lang w:val="nl-NL"/>
        </w:rPr>
        <w:t xml:space="preserve">niet van thuis kunnen </w:t>
      </w:r>
      <w:r w:rsidRPr="00A95926">
        <w:t>werken</w:t>
      </w:r>
      <w:r w:rsidRPr="00A95926">
        <w:rPr>
          <w:lang w:val="nl-NL"/>
        </w:rPr>
        <w:t>;</w:t>
      </w:r>
    </w:p>
    <w:p w14:paraId="6FBEC18F" w14:textId="36294196" w:rsidR="006C29CB" w:rsidRPr="00A95926" w:rsidRDefault="00FE69EA" w:rsidP="00CA37F3">
      <w:pPr>
        <w:pStyle w:val="Default"/>
        <w:numPr>
          <w:ilvl w:val="0"/>
          <w:numId w:val="6"/>
        </w:numPr>
        <w:ind w:left="714" w:hanging="357"/>
        <w:jc w:val="both"/>
      </w:pPr>
      <w:r w:rsidRPr="00A95926">
        <w:rPr>
          <w:lang w:val="nl-NL"/>
        </w:rPr>
        <w:t xml:space="preserve">niet kunnen voldoen aan de </w:t>
      </w:r>
      <w:r w:rsidRPr="00A95926">
        <w:t>eisen</w:t>
      </w:r>
      <w:r w:rsidRPr="00A95926">
        <w:rPr>
          <w:lang w:val="nl-NL"/>
        </w:rPr>
        <w:t xml:space="preserve"> met betrekking tot </w:t>
      </w:r>
      <w:proofErr w:type="spellStart"/>
      <w:r w:rsidRPr="00A95926">
        <w:rPr>
          <w:lang w:val="nl-NL"/>
        </w:rPr>
        <w:t>social</w:t>
      </w:r>
      <w:proofErr w:type="spellEnd"/>
      <w:r w:rsidRPr="00A95926">
        <w:rPr>
          <w:lang w:val="nl-NL"/>
        </w:rPr>
        <w:t xml:space="preserve"> </w:t>
      </w:r>
      <w:proofErr w:type="spellStart"/>
      <w:r w:rsidRPr="00A95926">
        <w:rPr>
          <w:lang w:val="nl-NL"/>
        </w:rPr>
        <w:t>distancing</w:t>
      </w:r>
      <w:proofErr w:type="spellEnd"/>
      <w:r w:rsidRPr="00A95926">
        <w:rPr>
          <w:lang w:val="nl-NL"/>
        </w:rPr>
        <w:t>;</w:t>
      </w:r>
    </w:p>
    <w:p w14:paraId="04148C0E" w14:textId="67C5EFFB" w:rsidR="006C29CB" w:rsidRPr="00A95926" w:rsidRDefault="00FE69EA" w:rsidP="00CA37F3">
      <w:pPr>
        <w:pStyle w:val="Default"/>
        <w:numPr>
          <w:ilvl w:val="0"/>
          <w:numId w:val="6"/>
        </w:numPr>
        <w:ind w:left="714" w:hanging="357"/>
        <w:jc w:val="both"/>
      </w:pPr>
      <w:r w:rsidRPr="00A95926">
        <w:t>niet over de nodige beschermingsmiddelen beschikken, geen adequaat ontworpen uniform hebben of werken op locaties met zeer elementaire of geen hygiënische voorzieningen, sanitaire voorzieningen, enz.;</w:t>
      </w:r>
    </w:p>
    <w:p w14:paraId="234DA75D" w14:textId="77777777" w:rsidR="00E63F41" w:rsidRPr="00A95926" w:rsidRDefault="00FE69EA" w:rsidP="00CA37F3">
      <w:pPr>
        <w:pStyle w:val="Default"/>
        <w:numPr>
          <w:ilvl w:val="0"/>
          <w:numId w:val="6"/>
        </w:numPr>
        <w:ind w:left="714" w:hanging="357"/>
        <w:jc w:val="both"/>
      </w:pPr>
      <w:r w:rsidRPr="00A95926">
        <w:rPr>
          <w:lang w:val="nl-NL"/>
        </w:rPr>
        <w:t>moeders en vaders zijn en voor kinderen moeten zorgen;</w:t>
      </w:r>
    </w:p>
    <w:p w14:paraId="751A700D" w14:textId="2F945DE1" w:rsidR="006C29CB" w:rsidRPr="00A95926" w:rsidRDefault="00FE69EA" w:rsidP="00CA37F3">
      <w:pPr>
        <w:pStyle w:val="Default"/>
        <w:numPr>
          <w:ilvl w:val="0"/>
          <w:numId w:val="6"/>
        </w:numPr>
        <w:ind w:left="714" w:hanging="357"/>
        <w:jc w:val="both"/>
      </w:pPr>
      <w:r w:rsidRPr="00A95926">
        <w:rPr>
          <w:lang w:val="nl-NL"/>
        </w:rPr>
        <w:t xml:space="preserve">gedetacheerde of </w:t>
      </w:r>
      <w:r w:rsidRPr="00A95926">
        <w:t>migrerende</w:t>
      </w:r>
      <w:r w:rsidRPr="00A95926">
        <w:rPr>
          <w:lang w:val="nl-NL"/>
        </w:rPr>
        <w:t xml:space="preserve"> werknemers zijn en vaak moeten samenleven in groepen in zeer elementaire accommodatie.</w:t>
      </w:r>
    </w:p>
    <w:p w14:paraId="124997B0" w14:textId="77777777" w:rsidR="006C29CB" w:rsidRPr="00CA37F3" w:rsidRDefault="006C29CB" w:rsidP="00CA37F3">
      <w:pPr>
        <w:pStyle w:val="Default"/>
        <w:ind w:left="720"/>
        <w:jc w:val="both"/>
        <w:rPr>
          <w:sz w:val="20"/>
          <w:szCs w:val="20"/>
        </w:rPr>
      </w:pPr>
    </w:p>
    <w:p w14:paraId="2C4D033F" w14:textId="69E25794" w:rsidR="006C29CB" w:rsidRPr="00CA37F3" w:rsidRDefault="00FE69EA" w:rsidP="00CA37F3">
      <w:pPr>
        <w:jc w:val="both"/>
        <w:rPr>
          <w:rFonts w:ascii="Calibri" w:hAnsi="Calibri" w:cs="Calibri"/>
          <w:lang w:val="nl-BE"/>
        </w:rPr>
      </w:pPr>
      <w:r w:rsidRPr="00CA37F3">
        <w:rPr>
          <w:rFonts w:ascii="Calibri" w:hAnsi="Calibri" w:cs="Calibri"/>
          <w:lang w:val="nl-BE"/>
        </w:rPr>
        <w:t xml:space="preserve">De werkgevers hebben de wettelijke verantwoordelijkheid om de naleving van de gezondheids- en veiligheidsregels te garanderen. De EFBH dringt erop aan dat alle werkplekken worden onderworpen aan een gedetailleerde risicobeoordeling met volledige betrokkenheid van de vakbonden, waarbij de vereiste maatregelen, procedures en de terbeschikkingstelling van persoonlijke beschermingsmiddelen worden overeengekomen en uitgevoerd. </w:t>
      </w:r>
      <w:proofErr w:type="gramStart"/>
      <w:r w:rsidRPr="00CA37F3">
        <w:rPr>
          <w:rFonts w:ascii="Calibri" w:hAnsi="Calibri" w:cs="Calibri"/>
          <w:lang w:val="nl-BE"/>
        </w:rPr>
        <w:t>Met name</w:t>
      </w:r>
      <w:proofErr w:type="gramEnd"/>
      <w:r w:rsidRPr="00CA37F3">
        <w:rPr>
          <w:rFonts w:ascii="Calibri" w:hAnsi="Calibri" w:cs="Calibri"/>
          <w:lang w:val="nl-BE"/>
        </w:rPr>
        <w:t xml:space="preserve"> op bouwplaatsen mag het werk alleen worden voortgezet als de geldende regels inzake hygiëne en </w:t>
      </w:r>
      <w:proofErr w:type="spellStart"/>
      <w:r w:rsidRPr="00CA37F3">
        <w:rPr>
          <w:rFonts w:ascii="Calibri" w:hAnsi="Calibri" w:cs="Calibri"/>
          <w:lang w:val="nl-BE"/>
        </w:rPr>
        <w:t>social</w:t>
      </w:r>
      <w:proofErr w:type="spellEnd"/>
      <w:r w:rsidRPr="00CA37F3">
        <w:rPr>
          <w:rFonts w:ascii="Calibri" w:hAnsi="Calibri" w:cs="Calibri"/>
          <w:lang w:val="nl-BE"/>
        </w:rPr>
        <w:t xml:space="preserve"> </w:t>
      </w:r>
      <w:proofErr w:type="spellStart"/>
      <w:r w:rsidRPr="00CA37F3">
        <w:rPr>
          <w:rFonts w:ascii="Calibri" w:hAnsi="Calibri" w:cs="Calibri"/>
          <w:lang w:val="nl-BE"/>
        </w:rPr>
        <w:t>distancing</w:t>
      </w:r>
      <w:proofErr w:type="spellEnd"/>
      <w:r w:rsidRPr="00CA37F3">
        <w:rPr>
          <w:rFonts w:ascii="Calibri" w:hAnsi="Calibri" w:cs="Calibri"/>
          <w:lang w:val="nl-BE"/>
        </w:rPr>
        <w:t xml:space="preserve"> door alle werknemers strikt kunnen worden nageleefd. Dit moet worden gewaarborgd en afgedwongen door middel van controles en sancties. Er is ook behoefte aan specifieke hygiënemaatregelen voor vrouwen, te beginnen met gescheiden toiletten.</w:t>
      </w:r>
    </w:p>
    <w:p w14:paraId="1DCCFDB5" w14:textId="2B46B69D" w:rsidR="006C29CB" w:rsidRPr="00CA37F3" w:rsidRDefault="00FE69EA" w:rsidP="006C29CB">
      <w:pPr>
        <w:pStyle w:val="Default"/>
        <w:jc w:val="both"/>
      </w:pPr>
      <w:r w:rsidRPr="00183899">
        <w:rPr>
          <w:lang w:val="nl-NL"/>
        </w:rPr>
        <w:lastRenderedPageBreak/>
        <w:t xml:space="preserve">In deze ongekende crisis is voor de sociale partners een sleutelrol weggelegd. De EFBH heeft samen met de Europese werkgeversfederaties in de </w:t>
      </w:r>
      <w:hyperlink r:id="rId9" w:history="1">
        <w:r w:rsidRPr="00634F56">
          <w:rPr>
            <w:rStyle w:val="Hyperlink"/>
            <w:lang w:val="nl-NL"/>
          </w:rPr>
          <w:t>bouwsector</w:t>
        </w:r>
      </w:hyperlink>
      <w:r w:rsidRPr="00183899">
        <w:rPr>
          <w:lang w:val="nl-NL"/>
        </w:rPr>
        <w:t xml:space="preserve"> (FIEC) en in de </w:t>
      </w:r>
      <w:hyperlink r:id="rId10" w:history="1">
        <w:r w:rsidRPr="00686D66">
          <w:rPr>
            <w:rStyle w:val="Hyperlink"/>
            <w:lang w:val="nl-NL"/>
          </w:rPr>
          <w:t>hout- en meubelindustrie</w:t>
        </w:r>
      </w:hyperlink>
      <w:r w:rsidRPr="00183899">
        <w:rPr>
          <w:lang w:val="nl-NL"/>
        </w:rPr>
        <w:t xml:space="preserve"> (CEI-Bois, UEA, </w:t>
      </w:r>
      <w:proofErr w:type="spellStart"/>
      <w:r w:rsidRPr="00183899">
        <w:rPr>
          <w:lang w:val="nl-NL"/>
        </w:rPr>
        <w:t>Efic</w:t>
      </w:r>
      <w:proofErr w:type="spellEnd"/>
      <w:r w:rsidRPr="00183899">
        <w:rPr>
          <w:lang w:val="nl-NL"/>
        </w:rPr>
        <w:t>, EPF en EOS) een oproep gedaan voor adequate maatregelen op nationaal en Europees niveau.</w:t>
      </w:r>
    </w:p>
    <w:p w14:paraId="5C2DCC0A" w14:textId="77777777" w:rsidR="006C29CB" w:rsidRPr="00CA37F3" w:rsidRDefault="006C29CB" w:rsidP="006C29CB">
      <w:pPr>
        <w:pStyle w:val="Default"/>
        <w:jc w:val="both"/>
        <w:rPr>
          <w:sz w:val="20"/>
          <w:szCs w:val="20"/>
        </w:rPr>
      </w:pPr>
    </w:p>
    <w:p w14:paraId="63F979D1" w14:textId="52D86373" w:rsidR="006C29CB" w:rsidRPr="00CA37F3" w:rsidRDefault="00FE69EA" w:rsidP="006C29CB">
      <w:pPr>
        <w:pStyle w:val="Default"/>
        <w:jc w:val="both"/>
      </w:pPr>
      <w:r w:rsidRPr="00183899">
        <w:rPr>
          <w:lang w:val="nl-NL"/>
        </w:rPr>
        <w:t xml:space="preserve">Veel van onze aangesloten bonden zijn erin geslaagd specifieke overeenkomsten te sluiten om een veilige voortzetting van de industriële activiteiten mogelijk te maken, met strikte naleving van de opgelegde maatregelen. Of, als dat niet mogelijk was, hebben zij gezamenlijk afspraken gemaakt over tijdelijke werkloosheidsmaatregelen in geval van een tijdelijke, volledige of gedeeltelijke stillegging van de activiteiten. Een overzicht van de maatregelen in onze sectoren is beschikbaar op de </w:t>
      </w:r>
      <w:hyperlink r:id="rId11" w:history="1">
        <w:r w:rsidRPr="00183899">
          <w:rPr>
            <w:rStyle w:val="Hyperlink"/>
            <w:lang w:val="nl-NL"/>
          </w:rPr>
          <w:t>website van de EFBH</w:t>
        </w:r>
      </w:hyperlink>
      <w:r w:rsidRPr="00183899">
        <w:rPr>
          <w:lang w:val="nl-NL"/>
        </w:rPr>
        <w:t>.</w:t>
      </w:r>
    </w:p>
    <w:p w14:paraId="74C32D20" w14:textId="77777777" w:rsidR="006C29CB" w:rsidRPr="00CA37F3" w:rsidRDefault="006C29CB" w:rsidP="006C29CB">
      <w:pPr>
        <w:pStyle w:val="Default"/>
        <w:jc w:val="both"/>
        <w:rPr>
          <w:color w:val="auto"/>
          <w:sz w:val="20"/>
          <w:szCs w:val="20"/>
        </w:rPr>
      </w:pPr>
    </w:p>
    <w:p w14:paraId="7EA71B88" w14:textId="77777777" w:rsidR="006C29CB" w:rsidRPr="00CA37F3" w:rsidRDefault="00FE69EA" w:rsidP="006C29CB">
      <w:pPr>
        <w:pStyle w:val="Default"/>
        <w:jc w:val="both"/>
        <w:rPr>
          <w:color w:val="auto"/>
        </w:rPr>
      </w:pPr>
      <w:r w:rsidRPr="00183899">
        <w:rPr>
          <w:color w:val="auto"/>
          <w:lang w:val="nl-NL"/>
        </w:rPr>
        <w:t xml:space="preserve">De Europese instellingen en de afzonderlijke landen bereiden momenteel hun </w:t>
      </w:r>
      <w:proofErr w:type="spellStart"/>
      <w:r w:rsidRPr="00183899">
        <w:rPr>
          <w:color w:val="auto"/>
          <w:lang w:val="nl-NL"/>
        </w:rPr>
        <w:t>exitstrategie</w:t>
      </w:r>
      <w:proofErr w:type="spellEnd"/>
      <w:r w:rsidRPr="00183899">
        <w:rPr>
          <w:color w:val="auto"/>
          <w:lang w:val="nl-NL"/>
        </w:rPr>
        <w:t xml:space="preserve"> voor. De EFBH roept op tot een geleidelijk, voorzichtig, goed gecoördineerd en toekomstgericht plan dat de gezondheid van de werknemers volledig beschermt en een verdere verspreiding van het virus tot een minimum beperkt, wanneer de werknemers weer aan het werk gaan.</w:t>
      </w:r>
      <w:r w:rsidRPr="00183899">
        <w:rPr>
          <w:color w:val="auto"/>
          <w:sz w:val="20"/>
          <w:szCs w:val="22"/>
          <w:lang w:val="nl-NL"/>
        </w:rPr>
        <w:t xml:space="preserve"> </w:t>
      </w:r>
      <w:r w:rsidRPr="00183899">
        <w:rPr>
          <w:color w:val="auto"/>
          <w:lang w:val="nl-NL"/>
        </w:rPr>
        <w:t xml:space="preserve">Om dit succesvol te laten verlopen hebben we een sectorale aanpak nodig die rekening houdt met verschillende realiteiten en genderbehoeften. De vakbonden moeten actief worden betrokken bij alle discussies en bij de uitvoering van elke </w:t>
      </w:r>
      <w:proofErr w:type="spellStart"/>
      <w:r w:rsidRPr="00183899">
        <w:rPr>
          <w:color w:val="auto"/>
          <w:lang w:val="nl-NL"/>
        </w:rPr>
        <w:t>exitstrategie</w:t>
      </w:r>
      <w:proofErr w:type="spellEnd"/>
      <w:r w:rsidRPr="00183899">
        <w:rPr>
          <w:color w:val="auto"/>
          <w:lang w:val="nl-NL"/>
        </w:rPr>
        <w:t>.</w:t>
      </w:r>
    </w:p>
    <w:p w14:paraId="6BD83ACC" w14:textId="77777777" w:rsidR="006C29CB" w:rsidRPr="00CA37F3" w:rsidRDefault="006C29CB" w:rsidP="006C29CB">
      <w:pPr>
        <w:pStyle w:val="Default"/>
        <w:jc w:val="both"/>
        <w:rPr>
          <w:b/>
          <w:bCs/>
          <w:i/>
          <w:iCs/>
          <w:color w:val="auto"/>
          <w:sz w:val="20"/>
          <w:szCs w:val="20"/>
        </w:rPr>
      </w:pPr>
    </w:p>
    <w:p w14:paraId="615490D4" w14:textId="77777777" w:rsidR="007633A1" w:rsidRPr="00CA37F3" w:rsidRDefault="007633A1" w:rsidP="006C29CB">
      <w:pPr>
        <w:pStyle w:val="Default"/>
        <w:jc w:val="both"/>
        <w:rPr>
          <w:b/>
          <w:bCs/>
          <w:i/>
          <w:iCs/>
          <w:color w:val="auto"/>
          <w:sz w:val="20"/>
          <w:szCs w:val="20"/>
        </w:rPr>
      </w:pPr>
    </w:p>
    <w:p w14:paraId="04450470" w14:textId="526C1861" w:rsidR="006C29CB" w:rsidRPr="00CA37F3" w:rsidRDefault="00FE69EA" w:rsidP="006C29CB">
      <w:pPr>
        <w:spacing w:after="200" w:line="276" w:lineRule="auto"/>
        <w:jc w:val="both"/>
        <w:rPr>
          <w:rFonts w:ascii="Calibri" w:hAnsi="Calibri" w:cs="Calibri"/>
          <w:lang w:val="nl-BE"/>
        </w:rPr>
      </w:pPr>
      <w:r w:rsidRPr="00183899">
        <w:rPr>
          <w:rFonts w:ascii="Calibri" w:hAnsi="Calibri" w:cs="Calibri"/>
          <w:b/>
          <w:bCs/>
          <w:i/>
          <w:iCs/>
          <w:lang w:val="nl-NL"/>
        </w:rPr>
        <w:t>Aandacht voor de dringende economische behoeften van werknemers en bedrijven!</w:t>
      </w:r>
    </w:p>
    <w:p w14:paraId="66C7F3FC" w14:textId="17F026C5" w:rsidR="006C29CB" w:rsidRPr="00CA37F3" w:rsidRDefault="00FE69EA" w:rsidP="006C29CB">
      <w:pPr>
        <w:pStyle w:val="Default"/>
        <w:jc w:val="both"/>
        <w:rPr>
          <w:color w:val="auto"/>
        </w:rPr>
      </w:pPr>
      <w:r w:rsidRPr="00183899">
        <w:rPr>
          <w:color w:val="auto"/>
          <w:lang w:val="nl-NL"/>
        </w:rPr>
        <w:t>Overal in Europa worden de bouw, de bouwmaterialen en de hout- en bosbouwindustrie zwaar getroffen door de crisis. In sommige landen zijn onze branches volledig tot stilstand gekomen. Cijfers over de bijzondere situatie van vrouwelijke werknemers zijn niet beschikbaar.</w:t>
      </w:r>
    </w:p>
    <w:p w14:paraId="1FE7E656" w14:textId="77777777" w:rsidR="006C29CB" w:rsidRPr="00CA37F3" w:rsidRDefault="006C29CB" w:rsidP="006C29CB">
      <w:pPr>
        <w:pStyle w:val="Default"/>
        <w:jc w:val="both"/>
        <w:rPr>
          <w:color w:val="auto"/>
          <w:sz w:val="20"/>
          <w:szCs w:val="20"/>
        </w:rPr>
      </w:pPr>
    </w:p>
    <w:p w14:paraId="1E7C3847" w14:textId="77777777" w:rsidR="006C29CB" w:rsidRPr="00CA37F3" w:rsidRDefault="00FE69EA" w:rsidP="006C29CB">
      <w:pPr>
        <w:pStyle w:val="Default"/>
        <w:jc w:val="both"/>
      </w:pPr>
      <w:r w:rsidRPr="00183899">
        <w:rPr>
          <w:color w:val="auto"/>
          <w:lang w:val="nl-NL"/>
        </w:rPr>
        <w:t>Samen met de Europese werkgeversfederaties in onze sectoren heeft de EFBH gevraagd dat de nationale en Europese autoriteiten alle nodige maatregelen nemen om de negatieve sociale en economische gevolgen van deze COVID-19-crisis op te vangen en te beteugelen.</w:t>
      </w:r>
    </w:p>
    <w:p w14:paraId="1E87B6C4" w14:textId="77777777" w:rsidR="006C29CB" w:rsidRPr="00CA37F3" w:rsidRDefault="006C29CB" w:rsidP="006C29CB">
      <w:pPr>
        <w:pStyle w:val="Default"/>
        <w:jc w:val="both"/>
        <w:rPr>
          <w:sz w:val="20"/>
          <w:szCs w:val="20"/>
        </w:rPr>
      </w:pPr>
    </w:p>
    <w:p w14:paraId="577B2ECE" w14:textId="62B6E5D0" w:rsidR="006C29CB" w:rsidRPr="00183899" w:rsidRDefault="00FE69EA" w:rsidP="006C29CB">
      <w:pPr>
        <w:pStyle w:val="Default"/>
        <w:jc w:val="both"/>
        <w:rPr>
          <w:lang w:val="en-GB"/>
        </w:rPr>
      </w:pPr>
      <w:r w:rsidRPr="00183899">
        <w:rPr>
          <w:lang w:val="nl-NL"/>
        </w:rPr>
        <w:t>De EFBH eist:</w:t>
      </w:r>
    </w:p>
    <w:p w14:paraId="2BBF781E" w14:textId="77777777" w:rsidR="006C29CB" w:rsidRPr="00A95926" w:rsidRDefault="00FE69EA" w:rsidP="006C29CB">
      <w:pPr>
        <w:pStyle w:val="Default"/>
        <w:numPr>
          <w:ilvl w:val="0"/>
          <w:numId w:val="8"/>
        </w:numPr>
        <w:jc w:val="both"/>
        <w:rPr>
          <w:sz w:val="23"/>
          <w:szCs w:val="23"/>
        </w:rPr>
      </w:pPr>
      <w:r w:rsidRPr="00A95926">
        <w:rPr>
          <w:sz w:val="23"/>
          <w:szCs w:val="23"/>
          <w:lang w:val="nl-NL"/>
        </w:rPr>
        <w:t>dat de nationale en Europese autoriteiten een fatsoenlijk inkomen garanderen aan alle werknemers die niet kunnen blijven werken, omdat ze ziek zijn, omdat hun bedrijf om hygiënische redenen is gesloten of omdat ze voor hun gezin of kinderen zorgen;</w:t>
      </w:r>
    </w:p>
    <w:p w14:paraId="6B6FE439" w14:textId="1D9B5580" w:rsidR="006C29CB" w:rsidRPr="00A95926" w:rsidRDefault="00FE69EA" w:rsidP="006C29CB">
      <w:pPr>
        <w:pStyle w:val="Default"/>
        <w:numPr>
          <w:ilvl w:val="0"/>
          <w:numId w:val="8"/>
        </w:numPr>
        <w:jc w:val="both"/>
        <w:rPr>
          <w:sz w:val="23"/>
          <w:szCs w:val="23"/>
        </w:rPr>
      </w:pPr>
      <w:r w:rsidRPr="00A95926">
        <w:rPr>
          <w:sz w:val="23"/>
          <w:szCs w:val="23"/>
          <w:lang w:val="nl-NL"/>
        </w:rPr>
        <w:t>dat alle werknemers snel en onbeperkt toegang hebben tot tijdelijke-werkloosheidsmaatregelen;</w:t>
      </w:r>
    </w:p>
    <w:p w14:paraId="3E9349EE" w14:textId="6B2BC96B" w:rsidR="006C29CB" w:rsidRPr="00A95926" w:rsidRDefault="00FE69EA" w:rsidP="006C29CB">
      <w:pPr>
        <w:pStyle w:val="Default"/>
        <w:numPr>
          <w:ilvl w:val="0"/>
          <w:numId w:val="8"/>
        </w:numPr>
        <w:jc w:val="both"/>
        <w:rPr>
          <w:sz w:val="23"/>
          <w:szCs w:val="23"/>
        </w:rPr>
      </w:pPr>
      <w:r w:rsidRPr="00A95926">
        <w:rPr>
          <w:sz w:val="23"/>
          <w:szCs w:val="23"/>
          <w:lang w:val="nl-NL"/>
        </w:rPr>
        <w:t xml:space="preserve">om al te negatieve gevolgen voor het inkomen te voorkomen, eist de EFBH ook dat de nationale autoriteiten ernaar streven de kloof tussen de feitelijke lonen van de werknemers en de uitkeringen voor tijdelijke werkloosheid te verkleinen. Het nieuwe instrument voor </w:t>
      </w:r>
      <w:hyperlink r:id="rId12" w:history="1">
        <w:r w:rsidRPr="00A95926">
          <w:rPr>
            <w:rStyle w:val="Hyperlink"/>
            <w:sz w:val="23"/>
            <w:szCs w:val="23"/>
            <w:lang w:val="nl-NL"/>
          </w:rPr>
          <w:t>tijdelijke steun om het risico op werkloosheid in noodsituaties te beperken (SURE)</w:t>
        </w:r>
      </w:hyperlink>
      <w:r w:rsidRPr="00A95926">
        <w:rPr>
          <w:sz w:val="23"/>
          <w:szCs w:val="23"/>
          <w:lang w:val="nl-NL"/>
        </w:rPr>
        <w:t xml:space="preserve"> is in dit verband een belangrijke stap. Samen met het EVV en zijn aangesloten bonden lobbyt de EFBH bij de EU-instellingen en de nationale regeringen om SURE te ondersteunen en zo snel mogelijk uit te voeren. De door SURE gesteunde tijdelijke werkloosheidsmaatregelen moeten betrekking hebben op alle categorieën werknemers, met inbegrip van niet-standaard werknemers, zelfstandigen en kwetsbare categorieën, zoals werknemers in onzeker dienstverband, zwartwerkers en migrerende werknemers, en die maatregelen moeten zorgen voor een inkomenscompensatie die zo dicht mogelijk bij 100% ligt.</w:t>
      </w:r>
    </w:p>
    <w:p w14:paraId="50F027EF" w14:textId="77777777" w:rsidR="00A95926" w:rsidRDefault="00A95926">
      <w:pPr>
        <w:rPr>
          <w:rFonts w:ascii="Calibri" w:hAnsi="Calibri" w:cs="Calibri"/>
          <w:color w:val="000000"/>
          <w:lang w:val="nl-NL" w:eastAsia="nl-BE"/>
        </w:rPr>
      </w:pPr>
      <w:r>
        <w:rPr>
          <w:lang w:val="nl-NL"/>
        </w:rPr>
        <w:br w:type="page"/>
      </w:r>
    </w:p>
    <w:p w14:paraId="0472254E" w14:textId="37AF08C4" w:rsidR="006C29CB" w:rsidRPr="00CA37F3" w:rsidRDefault="00FE69EA" w:rsidP="006C29CB">
      <w:pPr>
        <w:pStyle w:val="Default"/>
        <w:jc w:val="both"/>
        <w:rPr>
          <w:color w:val="auto"/>
        </w:rPr>
      </w:pPr>
      <w:r w:rsidRPr="00183899">
        <w:rPr>
          <w:lang w:val="nl-NL"/>
        </w:rPr>
        <w:lastRenderedPageBreak/>
        <w:t xml:space="preserve">De EFBH en haar aangesloten bonden maken zich vooral zorgen over het feit dat veel werknemers in onze sectoren vaak via precaire arbeidscontracten werken, zoals gedetacheerde werknemers, (schijn)zelfstandigen, </w:t>
      </w:r>
      <w:proofErr w:type="spellStart"/>
      <w:r w:rsidRPr="00183899">
        <w:rPr>
          <w:lang w:val="nl-NL"/>
        </w:rPr>
        <w:t>nulu</w:t>
      </w:r>
      <w:r w:rsidR="00C21EA9">
        <w:rPr>
          <w:lang w:val="nl-NL"/>
        </w:rPr>
        <w:t>u</w:t>
      </w:r>
      <w:r w:rsidRPr="00183899">
        <w:rPr>
          <w:lang w:val="nl-NL"/>
        </w:rPr>
        <w:t>rcontracten</w:t>
      </w:r>
      <w:proofErr w:type="spellEnd"/>
      <w:r w:rsidRPr="00183899">
        <w:rPr>
          <w:lang w:val="nl-NL"/>
        </w:rPr>
        <w:t>, uitzendkrachten, mini-jobs of freelancers. Werknemers die geen recht hebben op tijdelijke werkloosheidsuitkeringen moeten toegang hebben tot alternatieve maatregelen. We kunnen niet accepteren dat een categorie werknemers wordt uitgesloten of in een armoedeval terechtkomt.</w:t>
      </w:r>
    </w:p>
    <w:p w14:paraId="2A0DCF45" w14:textId="77777777" w:rsidR="006C29CB" w:rsidRPr="00CA37F3" w:rsidRDefault="006C29CB" w:rsidP="006C29CB">
      <w:pPr>
        <w:pStyle w:val="Default"/>
        <w:jc w:val="both"/>
        <w:rPr>
          <w:color w:val="auto"/>
        </w:rPr>
      </w:pPr>
    </w:p>
    <w:p w14:paraId="6ED54ACD" w14:textId="3050C7C3" w:rsidR="006C29CB" w:rsidRPr="00CA37F3" w:rsidRDefault="00FE69EA" w:rsidP="006C29CB">
      <w:pPr>
        <w:pStyle w:val="Default"/>
        <w:jc w:val="both"/>
        <w:rPr>
          <w:color w:val="auto"/>
        </w:rPr>
      </w:pPr>
      <w:r w:rsidRPr="00183899">
        <w:rPr>
          <w:color w:val="auto"/>
          <w:lang w:val="nl-NL"/>
        </w:rPr>
        <w:t>De EFBH en de Europese werkgeversfederaties in onze sector hebben de Europese instellingen verzocht een open dialoog aan te gaan om passende maatregelen vast te stellen en uit te voeren die een snel herstel na de crisis mogelijk maken. We hebben behoefte aan langetermijninvesteringen in een duurzame en rechtvaardige transformatie van de economie en een groene infrastructuur om op de lange termijn banen in onze sectoren te creëren en te behouden.</w:t>
      </w:r>
    </w:p>
    <w:p w14:paraId="07A39848" w14:textId="77777777" w:rsidR="006C29CB" w:rsidRPr="00CA37F3" w:rsidRDefault="006C29CB" w:rsidP="006C29CB">
      <w:pPr>
        <w:pStyle w:val="Default"/>
        <w:jc w:val="both"/>
        <w:rPr>
          <w:color w:val="auto"/>
        </w:rPr>
      </w:pPr>
    </w:p>
    <w:p w14:paraId="2A15B4BC" w14:textId="77777777" w:rsidR="00337AF1" w:rsidRPr="00CA37F3" w:rsidRDefault="00337AF1" w:rsidP="006C29CB">
      <w:pPr>
        <w:pStyle w:val="Default"/>
        <w:jc w:val="both"/>
        <w:rPr>
          <w:color w:val="auto"/>
        </w:rPr>
      </w:pPr>
    </w:p>
    <w:p w14:paraId="1DC35B14" w14:textId="260C4BEC" w:rsidR="006C29CB" w:rsidRPr="00CA37F3" w:rsidRDefault="00FE69EA" w:rsidP="006C29CB">
      <w:pPr>
        <w:pStyle w:val="Default"/>
        <w:jc w:val="both"/>
        <w:rPr>
          <w:b/>
          <w:bCs/>
          <w:i/>
          <w:iCs/>
          <w:color w:val="auto"/>
        </w:rPr>
      </w:pPr>
      <w:r w:rsidRPr="00183899">
        <w:rPr>
          <w:b/>
          <w:bCs/>
          <w:i/>
          <w:iCs/>
          <w:color w:val="auto"/>
          <w:lang w:val="nl-NL"/>
        </w:rPr>
        <w:t>Wie gaat de rekening betalen?</w:t>
      </w:r>
    </w:p>
    <w:p w14:paraId="6A89CC61" w14:textId="77777777" w:rsidR="006C29CB" w:rsidRPr="00CA37F3" w:rsidRDefault="006C29CB" w:rsidP="006C29CB">
      <w:pPr>
        <w:pStyle w:val="Default"/>
        <w:jc w:val="both"/>
        <w:rPr>
          <w:color w:val="auto"/>
        </w:rPr>
      </w:pPr>
    </w:p>
    <w:p w14:paraId="43729555" w14:textId="40C96C89" w:rsidR="006C29CB" w:rsidRPr="00CA37F3" w:rsidRDefault="00FE69EA" w:rsidP="006C29CB">
      <w:pPr>
        <w:pStyle w:val="Default"/>
        <w:jc w:val="both"/>
        <w:rPr>
          <w:color w:val="auto"/>
        </w:rPr>
      </w:pPr>
      <w:r w:rsidRPr="00183899">
        <w:rPr>
          <w:color w:val="auto"/>
          <w:lang w:val="nl-NL"/>
        </w:rPr>
        <w:t xml:space="preserve">De EFBH is verheugd over het besluit van de Europese Commissie om een meer "ontspannen" aanpak te hanteren ten aanzien van kwesties die verband houden met overheidssteun en budgettaire en fiscale maatregelen. De EFBH verwelkomt ook het financiële hulpplan van de EU voor de Europese landen die hard zijn getroffen door de COVID-19-epidemie en het SURE-crisisprogramma voor nationale werktijdverkortingsregelingen. De EFBH eist dat dit alles de voorbode is van een minder ideologische en meer sociale benadering van economische en fiscale zaken in de EU. In dit verband vraagt de EFBH om een snel akkoord over een nieuw meerjarig financieel kader (MFK), met inbegrip van een Europees Herstelfonds, zoals besproken in de Eurogroep. Het MFK moet worden verhoogd tot </w:t>
      </w:r>
      <w:proofErr w:type="gramStart"/>
      <w:r w:rsidRPr="00183899">
        <w:rPr>
          <w:color w:val="auto"/>
          <w:lang w:val="nl-NL"/>
        </w:rPr>
        <w:t>ten minste</w:t>
      </w:r>
      <w:proofErr w:type="gramEnd"/>
      <w:r w:rsidRPr="00183899">
        <w:rPr>
          <w:color w:val="auto"/>
          <w:lang w:val="nl-NL"/>
        </w:rPr>
        <w:t xml:space="preserve"> 2% van het bbp om sociale inclusieve en groene investeringen in de hele interne markt te financieren.</w:t>
      </w:r>
    </w:p>
    <w:p w14:paraId="1DD7AD88" w14:textId="77777777" w:rsidR="006C29CB" w:rsidRPr="00CA37F3" w:rsidRDefault="006C29CB" w:rsidP="006C29CB">
      <w:pPr>
        <w:pStyle w:val="Default"/>
        <w:jc w:val="both"/>
        <w:rPr>
          <w:color w:val="auto"/>
        </w:rPr>
      </w:pPr>
    </w:p>
    <w:p w14:paraId="7628F11A" w14:textId="0A558868" w:rsidR="006C29CB" w:rsidRPr="00CA37F3" w:rsidRDefault="00FE69EA" w:rsidP="006C29CB">
      <w:pPr>
        <w:pStyle w:val="Default"/>
        <w:jc w:val="both"/>
        <w:rPr>
          <w:color w:val="auto"/>
        </w:rPr>
      </w:pPr>
      <w:r w:rsidRPr="00183899">
        <w:rPr>
          <w:color w:val="auto"/>
          <w:lang w:val="nl-NL"/>
        </w:rPr>
        <w:t xml:space="preserve">Het collectieve antwoord op de COVID-19-crisis heeft duidelijk de grenzen van marktconforme oplossingen voor de volksgezondheid en de sociale en economische behoeften aangetoond. Landen met een uitgebreid volksgezondheidsstelsel, goed functionerende openbare diensten en degelijke </w:t>
      </w:r>
      <w:proofErr w:type="spellStart"/>
      <w:r w:rsidRPr="00183899">
        <w:rPr>
          <w:color w:val="auto"/>
          <w:lang w:val="nl-NL"/>
        </w:rPr>
        <w:t>socialezekerheids</w:t>
      </w:r>
      <w:proofErr w:type="spellEnd"/>
      <w:r w:rsidRPr="00183899">
        <w:rPr>
          <w:color w:val="auto"/>
          <w:lang w:val="nl-NL"/>
        </w:rPr>
        <w:t xml:space="preserve">- en </w:t>
      </w:r>
      <w:proofErr w:type="spellStart"/>
      <w:r w:rsidRPr="00183899">
        <w:rPr>
          <w:color w:val="auto"/>
          <w:lang w:val="nl-NL"/>
        </w:rPr>
        <w:t>socialebeschermingsregelingen</w:t>
      </w:r>
      <w:proofErr w:type="spellEnd"/>
      <w:r w:rsidRPr="00183899">
        <w:rPr>
          <w:color w:val="auto"/>
          <w:lang w:val="nl-NL"/>
        </w:rPr>
        <w:t xml:space="preserve"> gaan veel beter om met de COVID-19-crisis. Tegelijkertijd moeten de rampzalige gevolgen van de bezuinigingen in landen als Griekenland, Italië en Spanje nu voor iedereen duidelijk zijn.</w:t>
      </w:r>
    </w:p>
    <w:p w14:paraId="1BB66337" w14:textId="77777777" w:rsidR="006C29CB" w:rsidRPr="00CA37F3" w:rsidRDefault="006C29CB" w:rsidP="006C29CB">
      <w:pPr>
        <w:pStyle w:val="Default"/>
        <w:jc w:val="both"/>
        <w:rPr>
          <w:color w:val="auto"/>
        </w:rPr>
      </w:pPr>
    </w:p>
    <w:p w14:paraId="3F08F6B1" w14:textId="0950C84E" w:rsidR="006C29CB" w:rsidRPr="00CA37F3" w:rsidRDefault="00FE69EA" w:rsidP="006C29CB">
      <w:pPr>
        <w:pStyle w:val="Default"/>
        <w:jc w:val="both"/>
        <w:rPr>
          <w:color w:val="auto"/>
        </w:rPr>
      </w:pPr>
      <w:r w:rsidRPr="00183899">
        <w:rPr>
          <w:color w:val="auto"/>
          <w:lang w:val="nl-NL"/>
        </w:rPr>
        <w:t xml:space="preserve">De EFBH roept op tot een versterking van de sociale zekerheid en de sociale bescherming in alle lidstaten. Bedrijven en aandeelhouders moeten alle verschuldigde belastingen en </w:t>
      </w:r>
      <w:proofErr w:type="spellStart"/>
      <w:r w:rsidRPr="00183899">
        <w:rPr>
          <w:color w:val="auto"/>
          <w:lang w:val="nl-NL"/>
        </w:rPr>
        <w:t>socialezekerheidsbijdragen</w:t>
      </w:r>
      <w:proofErr w:type="spellEnd"/>
      <w:r w:rsidRPr="00183899">
        <w:rPr>
          <w:color w:val="auto"/>
          <w:lang w:val="nl-NL"/>
        </w:rPr>
        <w:t xml:space="preserve"> betalen die nodig zijn voor de financiering van hoogwaardige openbare diensten, die we niet alleen in tijden van crisis nodig hebben. De EFBH blijft aandringen op een snelle en ambitieuze herziening van de EU-Verordening inzake sociale zekerheid 883/2004 om fatsoenlijke sociale bescherming te bieden aan gedetacheerde werknemers en de fraude aan te pakken van bedrijven die geen (of minder) </w:t>
      </w:r>
      <w:proofErr w:type="spellStart"/>
      <w:r w:rsidRPr="00183899">
        <w:rPr>
          <w:color w:val="auto"/>
          <w:lang w:val="nl-NL"/>
        </w:rPr>
        <w:t>socialezekerheidsbijdragen</w:t>
      </w:r>
      <w:proofErr w:type="spellEnd"/>
      <w:r w:rsidRPr="00183899">
        <w:rPr>
          <w:color w:val="auto"/>
          <w:lang w:val="nl-NL"/>
        </w:rPr>
        <w:t xml:space="preserve"> betalen voor hun gedetacheerde werknemers. De EFBH eist de volledige uitvoering van de aanbeveling van de Raad met betrekking tot de toegang tot sociale bescherming voor werknemers en zelfstandigen (2019/C 387/01) met het oog op een volledige sociale bescherming van alle werknemers.</w:t>
      </w:r>
    </w:p>
    <w:p w14:paraId="55ECC99A" w14:textId="77777777" w:rsidR="006C29CB" w:rsidRPr="00CA37F3" w:rsidRDefault="006C29CB" w:rsidP="006C29CB">
      <w:pPr>
        <w:pStyle w:val="Default"/>
        <w:jc w:val="both"/>
        <w:rPr>
          <w:color w:val="auto"/>
        </w:rPr>
      </w:pPr>
    </w:p>
    <w:p w14:paraId="483DD720" w14:textId="77777777" w:rsidR="002B6257" w:rsidRDefault="002B6257" w:rsidP="006C29CB">
      <w:pPr>
        <w:pStyle w:val="Default"/>
        <w:jc w:val="both"/>
        <w:rPr>
          <w:color w:val="auto"/>
          <w:lang w:val="nl-NL"/>
        </w:rPr>
      </w:pPr>
      <w:r>
        <w:rPr>
          <w:color w:val="auto"/>
          <w:lang w:val="nl-NL"/>
        </w:rPr>
        <w:br w:type="page"/>
      </w:r>
    </w:p>
    <w:p w14:paraId="77FF08F6" w14:textId="584E2066" w:rsidR="006C29CB" w:rsidRPr="00CA37F3" w:rsidRDefault="00FE69EA" w:rsidP="006C29CB">
      <w:pPr>
        <w:pStyle w:val="Default"/>
        <w:jc w:val="both"/>
        <w:rPr>
          <w:color w:val="auto"/>
        </w:rPr>
      </w:pPr>
      <w:r w:rsidRPr="00183899">
        <w:rPr>
          <w:color w:val="auto"/>
          <w:lang w:val="nl-NL"/>
        </w:rPr>
        <w:lastRenderedPageBreak/>
        <w:t xml:space="preserve">De EFBH ondersteunt de vraag naar een grootschalige en goed geplande Europese investeringsstrategie om de economie weer op gang te brengen. Wij geloven dat onze sectoren cruciaal zullen zijn voor een snel economisch herstel en een sleutelrol kunnen spelen in de rechtvaardige overgang naar een koolstofneutraal Europa in 2050. Een goed gefinancierde COVID-19-herstelstrategie moet worden ontworpen als een rechtvaardig overgangsinstrument ten behoeve van de werknemers in al onze bedrijfstakken, </w:t>
      </w:r>
      <w:proofErr w:type="gramStart"/>
      <w:r w:rsidRPr="00183899">
        <w:rPr>
          <w:color w:val="auto"/>
          <w:lang w:val="nl-NL"/>
        </w:rPr>
        <w:t>met name</w:t>
      </w:r>
      <w:proofErr w:type="gramEnd"/>
      <w:r w:rsidRPr="00183899">
        <w:rPr>
          <w:color w:val="auto"/>
          <w:lang w:val="nl-NL"/>
        </w:rPr>
        <w:t xml:space="preserve"> de meer energie-intensieve sectoren.</w:t>
      </w:r>
    </w:p>
    <w:p w14:paraId="0E07B46A" w14:textId="3C78EBA0" w:rsidR="006C29CB" w:rsidRPr="00CA37F3" w:rsidRDefault="00FE69EA" w:rsidP="006C29CB">
      <w:pPr>
        <w:pStyle w:val="Default"/>
        <w:jc w:val="both"/>
        <w:rPr>
          <w:color w:val="auto"/>
        </w:rPr>
      </w:pPr>
      <w:r w:rsidRPr="00183899">
        <w:rPr>
          <w:color w:val="auto"/>
          <w:lang w:val="nl-NL"/>
        </w:rPr>
        <w:t xml:space="preserve">De EFBH roept de rijkste 1% op om bij te dragen, niet via liefdadigheid, maar door hun eerlijke aandeel te betalen. De EFBH steunt alle initiatieven voor eerlijke progressieve belastingen en om een einde te maken aan de huidige praktijken van massale belastingontduiking via offshore- en andere belastingparadijzen. Lux </w:t>
      </w:r>
      <w:proofErr w:type="spellStart"/>
      <w:r w:rsidRPr="00183899">
        <w:rPr>
          <w:color w:val="auto"/>
          <w:lang w:val="nl-NL"/>
        </w:rPr>
        <w:t>Leaks</w:t>
      </w:r>
      <w:proofErr w:type="spellEnd"/>
      <w:r w:rsidRPr="00183899">
        <w:rPr>
          <w:color w:val="auto"/>
          <w:lang w:val="nl-NL"/>
        </w:rPr>
        <w:t>, Panama Papers, offshore-lekken en schandalen hebben aangetoond dat elk jaar miljarden euro's de EU verlaten zonder dat er belasting op wordt geheven.</w:t>
      </w:r>
    </w:p>
    <w:p w14:paraId="58A1017A" w14:textId="77777777" w:rsidR="006C29CB" w:rsidRPr="00A95926" w:rsidRDefault="006C29CB" w:rsidP="006C29CB">
      <w:pPr>
        <w:pStyle w:val="Default"/>
        <w:jc w:val="both"/>
        <w:rPr>
          <w:color w:val="auto"/>
          <w:sz w:val="20"/>
          <w:szCs w:val="20"/>
        </w:rPr>
      </w:pPr>
    </w:p>
    <w:p w14:paraId="33C27D4A" w14:textId="05F42A47" w:rsidR="006C29CB" w:rsidRPr="00CA37F3" w:rsidRDefault="00FE69EA" w:rsidP="006C29CB">
      <w:pPr>
        <w:pStyle w:val="Default"/>
        <w:jc w:val="both"/>
        <w:rPr>
          <w:color w:val="auto"/>
        </w:rPr>
      </w:pPr>
      <w:r w:rsidRPr="00183899">
        <w:rPr>
          <w:color w:val="auto"/>
          <w:lang w:val="nl-NL"/>
        </w:rPr>
        <w:t xml:space="preserve">De EFBH roept ook multinationale ondernemingen op om hun eerlijke aandeel te betalen. De EFBH steunt de eisen van de bij haar aangesloten bonden en van de leden van Europese Ondernemingsraden ten aanzien van de aandeelhouders om ook een inspanning te leveren. Zoals de EOR-leden van </w:t>
      </w:r>
      <w:proofErr w:type="spellStart"/>
      <w:r w:rsidRPr="00183899">
        <w:rPr>
          <w:color w:val="auto"/>
          <w:lang w:val="nl-NL"/>
        </w:rPr>
        <w:t>LafargeHolcim</w:t>
      </w:r>
      <w:proofErr w:type="spellEnd"/>
      <w:r w:rsidRPr="00183899">
        <w:rPr>
          <w:color w:val="auto"/>
          <w:lang w:val="nl-NL"/>
        </w:rPr>
        <w:t xml:space="preserve"> in een brief aan het hoofdbestuur hebben verklaard: </w:t>
      </w:r>
      <w:r w:rsidRPr="00183899">
        <w:rPr>
          <w:i/>
          <w:iCs/>
          <w:color w:val="auto"/>
          <w:lang w:val="nl-NL"/>
        </w:rPr>
        <w:t>"Bedrijven en vooral grote groepen moeten volledig solidair zijn. Het zou noch redelijk, noch verantwoord zijn voor bedrijven om dividenden uit te keren aan hun aandeelhouders, alsof er niets is gebeurd".</w:t>
      </w:r>
    </w:p>
    <w:p w14:paraId="0772B9F3" w14:textId="77777777" w:rsidR="002B6257" w:rsidRPr="002B6257" w:rsidRDefault="002B6257" w:rsidP="0009753B">
      <w:pPr>
        <w:pStyle w:val="Default"/>
        <w:rPr>
          <w:sz w:val="20"/>
          <w:szCs w:val="20"/>
          <w:lang w:val="nl-NL"/>
        </w:rPr>
      </w:pPr>
    </w:p>
    <w:p w14:paraId="474D3CCD" w14:textId="03068E68" w:rsidR="0009753B" w:rsidRDefault="00FE69EA" w:rsidP="0009753B">
      <w:pPr>
        <w:pStyle w:val="Default"/>
        <w:rPr>
          <w:lang w:val="nl-NL"/>
        </w:rPr>
      </w:pPr>
      <w:r w:rsidRPr="0009753B">
        <w:rPr>
          <w:lang w:val="nl-NL"/>
        </w:rPr>
        <w:t xml:space="preserve">Vrouwen lopen het risico meer te worden blootgesteld aan de </w:t>
      </w:r>
      <w:proofErr w:type="spellStart"/>
      <w:r w:rsidRPr="0009753B">
        <w:rPr>
          <w:lang w:val="nl-NL"/>
        </w:rPr>
        <w:t>sociaal-economische</w:t>
      </w:r>
      <w:proofErr w:type="spellEnd"/>
      <w:r w:rsidRPr="0009753B">
        <w:rPr>
          <w:lang w:val="nl-NL"/>
        </w:rPr>
        <w:t xml:space="preserve"> gevolgen van COVID-19.</w:t>
      </w:r>
    </w:p>
    <w:p w14:paraId="792251CC" w14:textId="77777777" w:rsidR="0009753B" w:rsidRPr="00CA37F3" w:rsidRDefault="00FE69EA" w:rsidP="0009753B">
      <w:pPr>
        <w:pStyle w:val="Default"/>
      </w:pPr>
      <w:r w:rsidRPr="0009753B">
        <w:rPr>
          <w:lang w:val="nl-NL"/>
        </w:rPr>
        <w:t>Er is een strategie nodig om deze gendereffecten te verzachten.</w:t>
      </w:r>
    </w:p>
    <w:p w14:paraId="4F329605" w14:textId="77777777" w:rsidR="006C29CB" w:rsidRPr="00A95926" w:rsidRDefault="006C29CB" w:rsidP="006C29CB">
      <w:pPr>
        <w:pStyle w:val="Default"/>
        <w:jc w:val="both"/>
        <w:rPr>
          <w:b/>
          <w:bCs/>
          <w:i/>
          <w:iCs/>
          <w:color w:val="auto"/>
          <w:sz w:val="20"/>
          <w:szCs w:val="20"/>
        </w:rPr>
      </w:pPr>
    </w:p>
    <w:p w14:paraId="62B2212B" w14:textId="2D91F07E" w:rsidR="006C29CB" w:rsidRPr="00CA37F3" w:rsidRDefault="00FE69EA" w:rsidP="006C29CB">
      <w:pPr>
        <w:pStyle w:val="Default"/>
        <w:jc w:val="both"/>
        <w:rPr>
          <w:color w:val="auto"/>
        </w:rPr>
      </w:pPr>
      <w:r w:rsidRPr="00183899">
        <w:rPr>
          <w:b/>
          <w:bCs/>
          <w:i/>
          <w:iCs/>
          <w:color w:val="auto"/>
          <w:lang w:val="nl-NL"/>
        </w:rPr>
        <w:t>Een sterk, verantwoordelijk en sociaal Europa om ons uit de crisis te leiden!</w:t>
      </w:r>
    </w:p>
    <w:p w14:paraId="66AF6947" w14:textId="77777777" w:rsidR="006C29CB" w:rsidRPr="00CA37F3" w:rsidRDefault="006C29CB" w:rsidP="006C29CB">
      <w:pPr>
        <w:pStyle w:val="Default"/>
        <w:jc w:val="both"/>
        <w:rPr>
          <w:color w:val="auto"/>
        </w:rPr>
      </w:pPr>
    </w:p>
    <w:p w14:paraId="7266AFE4" w14:textId="52C3DAE8" w:rsidR="006C29CB" w:rsidRDefault="00FE69EA" w:rsidP="006C29CB">
      <w:pPr>
        <w:pStyle w:val="Default"/>
        <w:jc w:val="both"/>
        <w:rPr>
          <w:color w:val="auto"/>
          <w:lang w:val="nl-NL"/>
        </w:rPr>
      </w:pPr>
      <w:r w:rsidRPr="00183899">
        <w:rPr>
          <w:color w:val="auto"/>
          <w:lang w:val="nl-NL"/>
        </w:rPr>
        <w:t>De EFBH en haar aangesloten bonden betreuren het aanvankelijke gebrek aan solidariteit tussen de lidstaten van de EU bij de aanpak van een crisis van deze omvang. De COVID-19-crisis heeft de aandacht gevestigd op enkele specifieke zwakheden en tekortkomingen van onze geglobaliseerde economieën en van het Europese project. We hebben een sterker, democratischer, verantwoordelijker en socialer Europa nodig.</w:t>
      </w:r>
    </w:p>
    <w:p w14:paraId="6876BBA1" w14:textId="3EB1CB8D" w:rsidR="006C29CB" w:rsidRPr="00CA37F3" w:rsidRDefault="00FE69EA" w:rsidP="006C29CB">
      <w:pPr>
        <w:pStyle w:val="Default"/>
        <w:jc w:val="both"/>
        <w:rPr>
          <w:color w:val="auto"/>
        </w:rPr>
      </w:pPr>
      <w:r w:rsidRPr="00183899">
        <w:rPr>
          <w:color w:val="auto"/>
          <w:lang w:val="nl-NL"/>
        </w:rPr>
        <w:t>De EFBH en haar aangesloten bonden zullen vanuit een sectoraal perspectief aan een dergelijke reflectie bijdragen.</w:t>
      </w:r>
    </w:p>
    <w:p w14:paraId="2E090ECB" w14:textId="77777777" w:rsidR="006C29CB" w:rsidRPr="00A95926" w:rsidRDefault="006C29CB" w:rsidP="006C29CB">
      <w:pPr>
        <w:pStyle w:val="Default"/>
        <w:jc w:val="both"/>
        <w:rPr>
          <w:color w:val="auto"/>
          <w:sz w:val="20"/>
          <w:szCs w:val="20"/>
        </w:rPr>
      </w:pPr>
    </w:p>
    <w:p w14:paraId="2C894C87" w14:textId="45DAAED3" w:rsidR="006C29CB" w:rsidRPr="00CA37F3" w:rsidRDefault="00FE69EA" w:rsidP="006C29CB">
      <w:pPr>
        <w:pStyle w:val="Default"/>
        <w:spacing w:after="46"/>
        <w:jc w:val="both"/>
        <w:rPr>
          <w:color w:val="auto"/>
        </w:rPr>
      </w:pPr>
      <w:r w:rsidRPr="00183899">
        <w:rPr>
          <w:color w:val="auto"/>
          <w:lang w:val="nl-NL"/>
        </w:rPr>
        <w:t>Op dit moment willen de EFBH en haar aangesloten bonden de aandacht vestigen op de volgende punten die voor ons van bijzonder belang zijn:</w:t>
      </w:r>
    </w:p>
    <w:p w14:paraId="2A499529" w14:textId="77777777" w:rsidR="006C29CB" w:rsidRPr="00A95926" w:rsidRDefault="006C29CB" w:rsidP="00CD04D4">
      <w:pPr>
        <w:pStyle w:val="Default"/>
        <w:spacing w:after="46"/>
        <w:jc w:val="both"/>
        <w:rPr>
          <w:color w:val="auto"/>
          <w:sz w:val="20"/>
          <w:szCs w:val="20"/>
        </w:rPr>
      </w:pPr>
    </w:p>
    <w:p w14:paraId="63EC0F9F" w14:textId="71719CE1" w:rsidR="006C29CB" w:rsidRPr="00A95926" w:rsidRDefault="00FE69EA" w:rsidP="00A95926">
      <w:pPr>
        <w:pStyle w:val="Default"/>
        <w:numPr>
          <w:ilvl w:val="0"/>
          <w:numId w:val="7"/>
        </w:numPr>
        <w:jc w:val="both"/>
        <w:rPr>
          <w:color w:val="auto"/>
          <w:sz w:val="23"/>
          <w:szCs w:val="23"/>
        </w:rPr>
      </w:pPr>
      <w:r w:rsidRPr="00A95926">
        <w:rPr>
          <w:color w:val="auto"/>
          <w:sz w:val="23"/>
          <w:szCs w:val="23"/>
          <w:lang w:val="nl-NL"/>
        </w:rPr>
        <w:t>De noodzaak van een nieuwe ambitieuze Europese gezondheids- en veiligheidsstrategie die rekening houdt met de lessen die uit de gezondheidscrisis van COVID-19 zijn getrokken. De EFBH roept op tot handhaving van gemeenschappelijke EU-normen inzake veiligheid en gezondheid op het werk, met specifieke aandacht voor de sectorale en genderrealiteiten en de strikte uitvoering, handhaving en sanctionering ervan, met inbegrip van hygiënische en fysieke afstandsmaatregelen in tijden van een pandemie.</w:t>
      </w:r>
    </w:p>
    <w:p w14:paraId="72203CC5" w14:textId="2E9C67D7" w:rsidR="006C29CB" w:rsidRPr="00A95926" w:rsidRDefault="00FE69EA" w:rsidP="00A95926">
      <w:pPr>
        <w:pStyle w:val="Default"/>
        <w:numPr>
          <w:ilvl w:val="0"/>
          <w:numId w:val="7"/>
        </w:numPr>
        <w:jc w:val="both"/>
        <w:rPr>
          <w:color w:val="auto"/>
          <w:sz w:val="23"/>
          <w:szCs w:val="23"/>
        </w:rPr>
      </w:pPr>
      <w:r w:rsidRPr="00A95926">
        <w:rPr>
          <w:color w:val="auto"/>
          <w:sz w:val="23"/>
          <w:szCs w:val="23"/>
          <w:lang w:val="nl-NL"/>
        </w:rPr>
        <w:t xml:space="preserve">De te grote afhankelijkheid en kwetsbaarheid van internationale, wereldwijde </w:t>
      </w:r>
      <w:proofErr w:type="spellStart"/>
      <w:r w:rsidRPr="00A95926">
        <w:rPr>
          <w:color w:val="auto"/>
          <w:sz w:val="23"/>
          <w:szCs w:val="23"/>
          <w:lang w:val="nl-NL"/>
        </w:rPr>
        <w:t>waardeketens</w:t>
      </w:r>
      <w:proofErr w:type="spellEnd"/>
      <w:r w:rsidRPr="00A95926">
        <w:rPr>
          <w:color w:val="auto"/>
          <w:sz w:val="23"/>
          <w:szCs w:val="23"/>
          <w:lang w:val="nl-NL"/>
        </w:rPr>
        <w:t xml:space="preserve">. De EFBH roept op tot een duurzamer industriebeleid voor de toekomst, </w:t>
      </w:r>
      <w:proofErr w:type="gramStart"/>
      <w:r w:rsidRPr="00A95926">
        <w:rPr>
          <w:color w:val="auto"/>
          <w:sz w:val="23"/>
          <w:szCs w:val="23"/>
          <w:lang w:val="nl-NL"/>
        </w:rPr>
        <w:t>met name</w:t>
      </w:r>
      <w:proofErr w:type="gramEnd"/>
      <w:r w:rsidRPr="00A95926">
        <w:rPr>
          <w:color w:val="auto"/>
          <w:sz w:val="23"/>
          <w:szCs w:val="23"/>
          <w:lang w:val="nl-NL"/>
        </w:rPr>
        <w:t xml:space="preserve"> rekening houdend met het grote aantal werknemers in het midden- en kleinbedrijf in onze sectoren.</w:t>
      </w:r>
    </w:p>
    <w:p w14:paraId="59C854FD" w14:textId="41485F93" w:rsidR="006C29CB" w:rsidRPr="00A95926" w:rsidRDefault="00FE69EA" w:rsidP="00A95926">
      <w:pPr>
        <w:pStyle w:val="Default"/>
        <w:numPr>
          <w:ilvl w:val="0"/>
          <w:numId w:val="7"/>
        </w:numPr>
        <w:jc w:val="both"/>
        <w:rPr>
          <w:color w:val="auto"/>
          <w:sz w:val="23"/>
          <w:szCs w:val="23"/>
        </w:rPr>
      </w:pPr>
      <w:r w:rsidRPr="00A95926">
        <w:rPr>
          <w:color w:val="auto"/>
          <w:sz w:val="23"/>
          <w:szCs w:val="23"/>
          <w:lang w:val="nl-NL"/>
        </w:rPr>
        <w:t xml:space="preserve">Als reactie op de crisis hebben verschillende EU-lidstaten eenzijdig besloten hun grenzen te sluiten. In de praktijk is het vrije verkeer van personen en diensten tussen sommige lidstaten opgeschort. Dit toont aan hoe kwetsbaar de interne markt werkelijk is. In dit verband pleiten de EFBH en haar </w:t>
      </w:r>
      <w:r w:rsidRPr="00A95926">
        <w:rPr>
          <w:color w:val="auto"/>
          <w:sz w:val="23"/>
          <w:szCs w:val="23"/>
          <w:lang w:val="nl-NL"/>
        </w:rPr>
        <w:lastRenderedPageBreak/>
        <w:t xml:space="preserve">aangesloten bonden voor een eerlijke interne markt op basis van gelijke behandeling van alle werknemers zonder enige sociale dumping. Dit is des te belangrijker wanneer we de toegenomen propaganda van </w:t>
      </w:r>
      <w:proofErr w:type="spellStart"/>
      <w:r w:rsidRPr="00A95926">
        <w:rPr>
          <w:color w:val="auto"/>
          <w:sz w:val="23"/>
          <w:szCs w:val="23"/>
          <w:lang w:val="nl-NL"/>
        </w:rPr>
        <w:t>xenofobe</w:t>
      </w:r>
      <w:proofErr w:type="spellEnd"/>
      <w:r w:rsidRPr="00A95926">
        <w:rPr>
          <w:color w:val="auto"/>
          <w:sz w:val="23"/>
          <w:szCs w:val="23"/>
          <w:lang w:val="nl-NL"/>
        </w:rPr>
        <w:t xml:space="preserve"> bewegingen en politieke partijen tegen migratie en internationale solidariteit en voor protectionisme en isolement zien.</w:t>
      </w:r>
    </w:p>
    <w:p w14:paraId="75715ED3" w14:textId="10875449" w:rsidR="006C29CB" w:rsidRPr="00A95926" w:rsidRDefault="00FE69EA" w:rsidP="00A95926">
      <w:pPr>
        <w:pStyle w:val="Default"/>
        <w:numPr>
          <w:ilvl w:val="0"/>
          <w:numId w:val="7"/>
        </w:numPr>
        <w:jc w:val="both"/>
        <w:rPr>
          <w:color w:val="auto"/>
          <w:sz w:val="23"/>
          <w:szCs w:val="23"/>
        </w:rPr>
      </w:pPr>
      <w:r w:rsidRPr="00A95926">
        <w:rPr>
          <w:color w:val="auto"/>
          <w:sz w:val="23"/>
          <w:szCs w:val="23"/>
          <w:lang w:val="nl-NL"/>
        </w:rPr>
        <w:t>Sommige EU-lidstaten gebruiken de gezondheidscrisis om in hun land een autoritair bewind te vestigen en fundamentele democratische beginselen af te schaffen. De EFBH roept de Europese instellingen en de andere lidstaten op om deze ontwikkelingen in het centrum van de EU niet te accepteren en alle noodzakelijke maatregelen te nemen om de democratie, de democratische rechten van de burgers en de rechten van de werknemers te verdedigen, met inbegrip van het recht op collectieve actie.</w:t>
      </w:r>
    </w:p>
    <w:p w14:paraId="194FBA98" w14:textId="32B92BBE" w:rsidR="006C29CB" w:rsidRPr="00A95926" w:rsidRDefault="00FE69EA" w:rsidP="00A95926">
      <w:pPr>
        <w:pStyle w:val="Default"/>
        <w:numPr>
          <w:ilvl w:val="0"/>
          <w:numId w:val="7"/>
        </w:numPr>
        <w:jc w:val="both"/>
        <w:rPr>
          <w:color w:val="auto"/>
          <w:sz w:val="23"/>
          <w:szCs w:val="23"/>
        </w:rPr>
      </w:pPr>
      <w:r w:rsidRPr="00A95926">
        <w:rPr>
          <w:color w:val="auto"/>
          <w:sz w:val="23"/>
          <w:szCs w:val="23"/>
          <w:lang w:val="nl-NL"/>
        </w:rPr>
        <w:t xml:space="preserve">De toenemende </w:t>
      </w:r>
      <w:proofErr w:type="spellStart"/>
      <w:r w:rsidRPr="00A95926">
        <w:rPr>
          <w:color w:val="auto"/>
          <w:sz w:val="23"/>
          <w:szCs w:val="23"/>
          <w:lang w:val="nl-NL"/>
        </w:rPr>
        <w:t>precarisering</w:t>
      </w:r>
      <w:proofErr w:type="spellEnd"/>
      <w:r w:rsidRPr="00A95926">
        <w:rPr>
          <w:color w:val="auto"/>
          <w:sz w:val="23"/>
          <w:szCs w:val="23"/>
          <w:lang w:val="nl-NL"/>
        </w:rPr>
        <w:t xml:space="preserve"> van de Europese arbeidsmarkten, </w:t>
      </w:r>
      <w:proofErr w:type="gramStart"/>
      <w:r w:rsidRPr="00A95926">
        <w:rPr>
          <w:color w:val="auto"/>
          <w:sz w:val="23"/>
          <w:szCs w:val="23"/>
          <w:lang w:val="nl-NL"/>
        </w:rPr>
        <w:t>met name</w:t>
      </w:r>
      <w:proofErr w:type="gramEnd"/>
      <w:r w:rsidRPr="00A95926">
        <w:rPr>
          <w:color w:val="auto"/>
          <w:sz w:val="23"/>
          <w:szCs w:val="23"/>
          <w:lang w:val="nl-NL"/>
        </w:rPr>
        <w:t xml:space="preserve"> in onze sectoren, en het groeiende aantal gedetacheerde werknemers, schijnzelfstandigen, </w:t>
      </w:r>
      <w:proofErr w:type="spellStart"/>
      <w:r w:rsidRPr="00A95926">
        <w:rPr>
          <w:color w:val="auto"/>
          <w:sz w:val="23"/>
          <w:szCs w:val="23"/>
          <w:lang w:val="nl-NL"/>
        </w:rPr>
        <w:t>nuluurcontracten</w:t>
      </w:r>
      <w:proofErr w:type="spellEnd"/>
      <w:r w:rsidRPr="00A95926">
        <w:rPr>
          <w:color w:val="auto"/>
          <w:sz w:val="23"/>
          <w:szCs w:val="23"/>
          <w:lang w:val="nl-NL"/>
        </w:rPr>
        <w:t>, oproepcontracten, uitzendkrachten, minibanen of freelancers, toont zijn meest lelijke kant tijdens deze crisis. In deze moeilijke tijden worden veel van deze werknemers behandeld als verbruiksgoederen en hebben ze van de ene op de andere dag hun baan en inkomen verloren zonder enige - of zeer weinig - sociale of andere bescherming. Het is onaanvaardbaar dat in onze geavanceerde economieën een groeiend aantal werknemers volledig in de kou blijft staan. De EFBH roept op tot een nieuw Europees kader voor fatsoenlijke en kwalitatief hoogstaande arbeidsomstandigheden voor alle werknemers, met bijzondere aandacht voor de bescherming van migrerende werknemers. Een voorwaarde hiervoor is de opheffing van alle "uitzonderlijke maatregelen" die op nationaal niveau in het kader van de COVID-19-crisis zijn genomen en die negatieve gevolgen hebben voor de rechten van werknemers en vakbonden, onder meer de verlenging van de arbeidsduur, de vergemakkelijking van ontslag of de beperking van het stakingsrecht.</w:t>
      </w:r>
    </w:p>
    <w:p w14:paraId="22B6091A" w14:textId="04CFECD9" w:rsidR="006C29CB" w:rsidRPr="00A95926" w:rsidRDefault="00FE69EA" w:rsidP="00A95926">
      <w:pPr>
        <w:pStyle w:val="Default"/>
        <w:numPr>
          <w:ilvl w:val="0"/>
          <w:numId w:val="7"/>
        </w:numPr>
        <w:jc w:val="both"/>
        <w:rPr>
          <w:color w:val="auto"/>
          <w:sz w:val="23"/>
          <w:szCs w:val="23"/>
        </w:rPr>
      </w:pPr>
      <w:r w:rsidRPr="00A95926">
        <w:rPr>
          <w:color w:val="auto"/>
          <w:sz w:val="23"/>
          <w:szCs w:val="23"/>
          <w:lang w:val="nl-NL"/>
        </w:rPr>
        <w:t xml:space="preserve">De aanhoudende loonkloof in onze bedrijfstakken tussen de verschillende EU-landen en de loonkloof tussen mannen en vrouwen zorgen voor een gevoel dat er Europese eersteklas- en </w:t>
      </w:r>
      <w:proofErr w:type="spellStart"/>
      <w:r w:rsidRPr="00A95926">
        <w:rPr>
          <w:color w:val="auto"/>
          <w:sz w:val="23"/>
          <w:szCs w:val="23"/>
          <w:lang w:val="nl-NL"/>
        </w:rPr>
        <w:t>tweederangswerknemers</w:t>
      </w:r>
      <w:proofErr w:type="spellEnd"/>
      <w:r w:rsidRPr="00A95926">
        <w:rPr>
          <w:color w:val="auto"/>
          <w:sz w:val="23"/>
          <w:szCs w:val="23"/>
          <w:lang w:val="nl-NL"/>
        </w:rPr>
        <w:t xml:space="preserve"> zijn. Dit ondermijnt ook de fundamenten van de interne markt. De EFBH steunt </w:t>
      </w:r>
      <w:proofErr w:type="gramStart"/>
      <w:r w:rsidRPr="00A95926">
        <w:rPr>
          <w:color w:val="auto"/>
          <w:sz w:val="23"/>
          <w:szCs w:val="23"/>
          <w:lang w:val="nl-NL"/>
        </w:rPr>
        <w:t>ten zeerste</w:t>
      </w:r>
      <w:proofErr w:type="gramEnd"/>
      <w:r w:rsidRPr="00A95926">
        <w:rPr>
          <w:color w:val="auto"/>
          <w:sz w:val="23"/>
          <w:szCs w:val="23"/>
          <w:lang w:val="nl-NL"/>
        </w:rPr>
        <w:t xml:space="preserve"> de eis van haar aangesloten bonden in Midden-, Oost- en Zuidoost-Europa voor fatsoenlijke lonen en een opwaartse convergentie van de loonniveaus.</w:t>
      </w:r>
    </w:p>
    <w:p w14:paraId="3C87E08B" w14:textId="77777777" w:rsidR="006C29CB" w:rsidRPr="00A95926" w:rsidRDefault="00FE69EA" w:rsidP="00A95926">
      <w:pPr>
        <w:pStyle w:val="Default"/>
        <w:numPr>
          <w:ilvl w:val="0"/>
          <w:numId w:val="7"/>
        </w:numPr>
        <w:jc w:val="both"/>
        <w:rPr>
          <w:rStyle w:val="CommentReference"/>
          <w:color w:val="auto"/>
          <w:sz w:val="23"/>
          <w:szCs w:val="23"/>
        </w:rPr>
      </w:pPr>
      <w:proofErr w:type="gramStart"/>
      <w:r w:rsidRPr="00A95926">
        <w:rPr>
          <w:color w:val="auto"/>
          <w:sz w:val="23"/>
          <w:szCs w:val="23"/>
          <w:lang w:val="nl-NL"/>
        </w:rPr>
        <w:t xml:space="preserve">Om het belang van de sociale partners en de sociale dialoog op bedrijfs-, sectoraal en nationaal niveau te onderstrepen, om robuuste, duurzame oplossingen te vinden voor de aanpak van crises (dringend en op korte termijn) en om diepgaandere, langdurige veranderingen in de samenleving te begeleiden (bijv. </w:t>
      </w:r>
      <w:proofErr w:type="gramEnd"/>
      <w:r w:rsidRPr="00A95926">
        <w:rPr>
          <w:color w:val="auto"/>
          <w:sz w:val="23"/>
          <w:szCs w:val="23"/>
          <w:lang w:val="nl-NL"/>
        </w:rPr>
        <w:t xml:space="preserve">Industrie 4.0, </w:t>
      </w:r>
      <w:proofErr w:type="spellStart"/>
      <w:r w:rsidRPr="00A95926">
        <w:rPr>
          <w:color w:val="auto"/>
          <w:sz w:val="23"/>
          <w:szCs w:val="23"/>
          <w:lang w:val="nl-NL"/>
        </w:rPr>
        <w:t>koolstofneutrale</w:t>
      </w:r>
      <w:proofErr w:type="spellEnd"/>
      <w:r w:rsidRPr="00A95926">
        <w:rPr>
          <w:color w:val="auto"/>
          <w:sz w:val="23"/>
          <w:szCs w:val="23"/>
          <w:lang w:val="nl-NL"/>
        </w:rPr>
        <w:t xml:space="preserve"> EU), roepen wij de Europese instellingen en de nationale regeringen op om meer te investeren in de capaciteitsopbouw van de sectorale sociale partners op nationaal en Europees niveau en in andere vormen van ondersteuning van de sociale dialoog.</w:t>
      </w:r>
    </w:p>
    <w:p w14:paraId="6E0D8157" w14:textId="77777777" w:rsidR="002C2593" w:rsidRPr="00CA37F3" w:rsidRDefault="002C2593" w:rsidP="00A95926">
      <w:pPr>
        <w:pStyle w:val="Default"/>
        <w:spacing w:after="46"/>
        <w:jc w:val="both"/>
        <w:rPr>
          <w:color w:val="auto"/>
        </w:rPr>
      </w:pPr>
    </w:p>
    <w:p w14:paraId="1727E84F" w14:textId="77777777" w:rsidR="006C29CB" w:rsidRPr="00CA37F3" w:rsidRDefault="00FE69EA" w:rsidP="006C29CB">
      <w:pPr>
        <w:pStyle w:val="Default"/>
        <w:jc w:val="both"/>
        <w:rPr>
          <w:b/>
          <w:i/>
          <w:iCs/>
          <w:color w:val="auto"/>
        </w:rPr>
      </w:pPr>
      <w:r w:rsidRPr="00183899">
        <w:rPr>
          <w:b/>
          <w:bCs/>
          <w:i/>
          <w:iCs/>
          <w:color w:val="auto"/>
          <w:lang w:val="nl-NL"/>
        </w:rPr>
        <w:t>Meer macht voor de vakbonden!</w:t>
      </w:r>
    </w:p>
    <w:p w14:paraId="7107E25B" w14:textId="77777777" w:rsidR="006C29CB" w:rsidRPr="00A95926" w:rsidRDefault="006C29CB" w:rsidP="006C29CB">
      <w:pPr>
        <w:pStyle w:val="Default"/>
        <w:jc w:val="both"/>
        <w:rPr>
          <w:iCs/>
          <w:color w:val="auto"/>
          <w:sz w:val="20"/>
          <w:szCs w:val="20"/>
        </w:rPr>
      </w:pPr>
    </w:p>
    <w:p w14:paraId="5683BE16" w14:textId="77777777" w:rsidR="006C29CB" w:rsidRPr="00A95926" w:rsidRDefault="00FE69EA" w:rsidP="006C29CB">
      <w:pPr>
        <w:pStyle w:val="Default"/>
        <w:jc w:val="both"/>
        <w:rPr>
          <w:lang w:val="en-GB"/>
        </w:rPr>
      </w:pPr>
      <w:r w:rsidRPr="00A95926">
        <w:rPr>
          <w:lang w:val="en-GB"/>
        </w:rPr>
        <w:t xml:space="preserve">Om dit alles </w:t>
      </w:r>
      <w:proofErr w:type="gramStart"/>
      <w:r w:rsidRPr="00A95926">
        <w:rPr>
          <w:lang w:val="en-GB"/>
        </w:rPr>
        <w:t>te</w:t>
      </w:r>
      <w:proofErr w:type="gramEnd"/>
      <w:r w:rsidRPr="00A95926">
        <w:rPr>
          <w:lang w:val="en-GB"/>
        </w:rPr>
        <w:t xml:space="preserve"> bereiken hebben we meer vakbondsmacht nodig. De EFBH zal verder strategieën ontwikkelen om de aangesloten bonden te helpen bij het vergroten van hun collectieve onderhandelingspositie en mobilisatiecapaciteiten. Stabilisatie van het aantal leden en groei van het aantal leden zijn in dit verband van cruciaal belang. De EFBH zal de samenwerking tussen de bij haar aangesloten organisaties blijven ondersteunen en verder versterken </w:t>
      </w:r>
      <w:proofErr w:type="gramStart"/>
      <w:r w:rsidRPr="00A95926">
        <w:rPr>
          <w:lang w:val="en-GB"/>
        </w:rPr>
        <w:t>om</w:t>
      </w:r>
      <w:proofErr w:type="gramEnd"/>
      <w:r w:rsidRPr="00A95926">
        <w:rPr>
          <w:lang w:val="en-GB"/>
        </w:rPr>
        <w:t xml:space="preserve"> de macht van de vakbonden in een grensoverschrijdende en Europese context te vergroten. Binnen multinationale ondernemingen zijn de Europese Ondernemingsraden in dit verband een belangrijk instrument. Het is nu ook tijd </w:t>
      </w:r>
      <w:proofErr w:type="gramStart"/>
      <w:r w:rsidRPr="00A95926">
        <w:rPr>
          <w:lang w:val="en-GB"/>
        </w:rPr>
        <w:t>om</w:t>
      </w:r>
      <w:proofErr w:type="gramEnd"/>
      <w:r w:rsidRPr="00A95926">
        <w:rPr>
          <w:lang w:val="en-GB"/>
        </w:rPr>
        <w:t xml:space="preserve"> nieuwe ideeën en manieren te ontwikkelen om het beginsel van gelijke behandeling van werknemers ten uitvoer te leggen.</w:t>
      </w:r>
    </w:p>
    <w:p w14:paraId="172023BE" w14:textId="77777777" w:rsidR="006C29CB" w:rsidRPr="00CA37F3" w:rsidRDefault="006C29CB" w:rsidP="006C29CB">
      <w:pPr>
        <w:pStyle w:val="Default"/>
        <w:jc w:val="both"/>
        <w:rPr>
          <w:b/>
          <w:bCs/>
          <w:i/>
          <w:iCs/>
          <w:color w:val="auto"/>
        </w:rPr>
      </w:pPr>
    </w:p>
    <w:p w14:paraId="15A98BEC" w14:textId="37BDE59F" w:rsidR="006C29CB" w:rsidRPr="00183899" w:rsidRDefault="00FE69EA" w:rsidP="006C29CB">
      <w:pPr>
        <w:pStyle w:val="Default"/>
        <w:jc w:val="both"/>
        <w:rPr>
          <w:b/>
          <w:bCs/>
          <w:i/>
          <w:iCs/>
          <w:color w:val="auto"/>
          <w:lang w:val="en-GB"/>
        </w:rPr>
      </w:pPr>
      <w:bookmarkStart w:id="0" w:name="_GoBack"/>
      <w:bookmarkEnd w:id="0"/>
      <w:proofErr w:type="spellStart"/>
      <w:r w:rsidRPr="00CA37F3">
        <w:rPr>
          <w:b/>
          <w:bCs/>
          <w:i/>
          <w:iCs/>
          <w:color w:val="auto"/>
          <w:lang w:val="en-GB"/>
        </w:rPr>
        <w:t>Conclusie</w:t>
      </w:r>
      <w:proofErr w:type="spellEnd"/>
      <w:r w:rsidRPr="00CA37F3">
        <w:rPr>
          <w:b/>
          <w:bCs/>
          <w:i/>
          <w:iCs/>
          <w:color w:val="auto"/>
          <w:lang w:val="en-GB"/>
        </w:rPr>
        <w:t xml:space="preserve">: </w:t>
      </w:r>
      <w:proofErr w:type="spellStart"/>
      <w:r w:rsidRPr="00CA37F3">
        <w:rPr>
          <w:b/>
          <w:bCs/>
          <w:i/>
          <w:iCs/>
          <w:color w:val="auto"/>
          <w:lang w:val="en-GB"/>
        </w:rPr>
        <w:t>Niet</w:t>
      </w:r>
      <w:proofErr w:type="spellEnd"/>
      <w:r w:rsidRPr="00CA37F3">
        <w:rPr>
          <w:b/>
          <w:bCs/>
          <w:i/>
          <w:iCs/>
          <w:color w:val="auto"/>
          <w:lang w:val="en-GB"/>
        </w:rPr>
        <w:t xml:space="preserve"> </w:t>
      </w:r>
      <w:proofErr w:type="spellStart"/>
      <w:proofErr w:type="gramStart"/>
      <w:r w:rsidRPr="00CA37F3">
        <w:rPr>
          <w:b/>
          <w:bCs/>
          <w:i/>
          <w:iCs/>
          <w:color w:val="auto"/>
          <w:lang w:val="en-GB"/>
        </w:rPr>
        <w:t>langer</w:t>
      </w:r>
      <w:proofErr w:type="spellEnd"/>
      <w:proofErr w:type="gramEnd"/>
      <w:r w:rsidRPr="00CA37F3">
        <w:rPr>
          <w:b/>
          <w:bCs/>
          <w:i/>
          <w:iCs/>
          <w:color w:val="auto"/>
          <w:lang w:val="en-GB"/>
        </w:rPr>
        <w:t xml:space="preserve"> "business as usual"</w:t>
      </w:r>
    </w:p>
    <w:p w14:paraId="2469A8DD" w14:textId="77777777" w:rsidR="006C29CB" w:rsidRPr="00183899" w:rsidRDefault="006C29CB" w:rsidP="006C29CB">
      <w:pPr>
        <w:pStyle w:val="Default"/>
        <w:jc w:val="both"/>
        <w:rPr>
          <w:i/>
          <w:iCs/>
          <w:color w:val="auto"/>
          <w:lang w:val="en-GB"/>
        </w:rPr>
      </w:pPr>
    </w:p>
    <w:p w14:paraId="047FEEBF" w14:textId="77777777" w:rsidR="006C29CB" w:rsidRPr="00CA37F3" w:rsidRDefault="00FE69EA" w:rsidP="006C29CB">
      <w:pPr>
        <w:pStyle w:val="Default"/>
        <w:jc w:val="both"/>
        <w:rPr>
          <w:i/>
          <w:iCs/>
          <w:color w:val="auto"/>
        </w:rPr>
      </w:pPr>
      <w:r w:rsidRPr="00183899">
        <w:rPr>
          <w:i/>
          <w:iCs/>
          <w:color w:val="auto"/>
          <w:lang w:val="nl-NL"/>
        </w:rPr>
        <w:t>De EFBH waardeert alle inspanningen om deze gezondheidscrisis aan te pakken en de meest urgente economische behoeften van werknemers en bedrijven aan te pakken. Geen enkele werknemer mag in de steek gelaten worden!</w:t>
      </w:r>
      <w:r w:rsidRPr="00183899">
        <w:rPr>
          <w:iCs/>
          <w:color w:val="auto"/>
          <w:lang w:val="nl-NL"/>
        </w:rPr>
        <w:t xml:space="preserve"> </w:t>
      </w:r>
      <w:r w:rsidRPr="00183899">
        <w:rPr>
          <w:i/>
          <w:iCs/>
          <w:color w:val="auto"/>
          <w:lang w:val="nl-NL"/>
        </w:rPr>
        <w:t xml:space="preserve">De EFBH verwacht dat de nationale regeringen en de Europese instellingen alles in het werk zullen stellen om te voorkomen dat Europa en </w:t>
      </w:r>
      <w:proofErr w:type="gramStart"/>
      <w:r w:rsidRPr="00183899">
        <w:rPr>
          <w:i/>
          <w:iCs/>
          <w:color w:val="auto"/>
          <w:lang w:val="nl-NL"/>
        </w:rPr>
        <w:t>met name</w:t>
      </w:r>
      <w:proofErr w:type="gramEnd"/>
      <w:r w:rsidRPr="00183899">
        <w:rPr>
          <w:i/>
          <w:iCs/>
          <w:color w:val="auto"/>
          <w:lang w:val="nl-NL"/>
        </w:rPr>
        <w:t xml:space="preserve"> de bouw- en houtsector in een diepe recessie terechtkomen. De Europese Green Deal moet het middelpunt vormen van een grootschalige en goed geplande Europese investeringsstrategie. Wij geloven dat onze branches cruciaal zullen zijn om bij te dragen aan een rechtvaardige overgang naar een koolstofneutraal Europa in 2050. De EFBH zal haar verantwoordelijkheid nemen, als Europese sectorale vakbondsfederatie en als verantwoordelijke sociale partner in deze debatten.</w:t>
      </w:r>
    </w:p>
    <w:p w14:paraId="3AF6BB4D" w14:textId="77777777" w:rsidR="006C29CB" w:rsidRPr="00CA37F3" w:rsidRDefault="006C29CB" w:rsidP="006C29CB">
      <w:pPr>
        <w:pStyle w:val="Default"/>
        <w:jc w:val="both"/>
        <w:rPr>
          <w:i/>
          <w:iCs/>
          <w:color w:val="auto"/>
        </w:rPr>
      </w:pPr>
    </w:p>
    <w:p w14:paraId="267C4F5E" w14:textId="77777777" w:rsidR="006C29CB" w:rsidRPr="00CA37F3" w:rsidRDefault="00FE69EA" w:rsidP="006C29CB">
      <w:pPr>
        <w:pStyle w:val="Default"/>
        <w:jc w:val="both"/>
        <w:rPr>
          <w:color w:val="auto"/>
        </w:rPr>
      </w:pPr>
      <w:r w:rsidRPr="00CD04D4">
        <w:rPr>
          <w:b/>
          <w:bCs/>
          <w:i/>
          <w:iCs/>
          <w:color w:val="auto"/>
          <w:lang w:val="nl-NL"/>
        </w:rPr>
        <w:t xml:space="preserve">Het moet voor iedereen duidelijk zijn dat we na deze crisis niet terug kunnen keren naar "business as </w:t>
      </w:r>
      <w:proofErr w:type="spellStart"/>
      <w:r w:rsidRPr="00CD04D4">
        <w:rPr>
          <w:b/>
          <w:bCs/>
          <w:i/>
          <w:iCs/>
          <w:color w:val="auto"/>
          <w:lang w:val="nl-NL"/>
        </w:rPr>
        <w:t>usual</w:t>
      </w:r>
      <w:proofErr w:type="spellEnd"/>
      <w:r w:rsidRPr="00CD04D4">
        <w:rPr>
          <w:b/>
          <w:bCs/>
          <w:i/>
          <w:iCs/>
          <w:color w:val="auto"/>
          <w:lang w:val="nl-NL"/>
        </w:rPr>
        <w:t>".</w:t>
      </w:r>
      <w:r w:rsidRPr="00CD04D4">
        <w:rPr>
          <w:color w:val="auto"/>
          <w:lang w:val="nl-NL"/>
        </w:rPr>
        <w:t xml:space="preserve"> </w:t>
      </w:r>
      <w:r w:rsidRPr="00CD04D4">
        <w:rPr>
          <w:b/>
          <w:bCs/>
          <w:i/>
          <w:iCs/>
          <w:color w:val="auto"/>
          <w:lang w:val="nl-NL"/>
        </w:rPr>
        <w:t xml:space="preserve">Het is tijd voor een paradigmaverschuiving naar een economische rationaliteit die gebaseerd is op duurzame investeringen voor economische stabiliteit, </w:t>
      </w:r>
      <w:r w:rsidR="000C2876" w:rsidRPr="00CD04D4">
        <w:rPr>
          <w:b/>
          <w:bCs/>
          <w:i/>
          <w:iCs/>
          <w:color w:val="auto"/>
          <w:lang w:val="nl-NL"/>
        </w:rPr>
        <w:t>gendergelijkheid</w:t>
      </w:r>
      <w:r w:rsidRPr="00CD04D4">
        <w:rPr>
          <w:b/>
          <w:bCs/>
          <w:i/>
          <w:iCs/>
          <w:color w:val="auto"/>
          <w:lang w:val="nl-NL"/>
        </w:rPr>
        <w:t xml:space="preserve"> en sociale cohesie.</w:t>
      </w:r>
    </w:p>
    <w:sectPr w:rsidR="006C29CB" w:rsidRPr="00CA37F3" w:rsidSect="002B6257">
      <w:footerReference w:type="default" r:id="rId13"/>
      <w:pgSz w:w="11906" w:h="16838"/>
      <w:pgMar w:top="992" w:right="992" w:bottom="1134" w:left="99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33AF10" w14:textId="77777777" w:rsidR="003F4372" w:rsidRDefault="003F4372">
      <w:r>
        <w:separator/>
      </w:r>
    </w:p>
  </w:endnote>
  <w:endnote w:type="continuationSeparator" w:id="0">
    <w:p w14:paraId="562732F3" w14:textId="77777777" w:rsidR="003F4372" w:rsidRDefault="003F4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A90EC" w14:textId="77777777" w:rsidR="007C0EA5" w:rsidRDefault="00FE69EA" w:rsidP="007C0EA5">
    <w:pPr>
      <w:pStyle w:val="BodyTextIndent2"/>
      <w:pBdr>
        <w:top w:val="none" w:sz="0" w:space="0" w:color="auto"/>
      </w:pBdr>
      <w:tabs>
        <w:tab w:val="clear" w:pos="-720"/>
        <w:tab w:val="clear" w:pos="3969"/>
        <w:tab w:val="clear" w:pos="4251"/>
        <w:tab w:val="left" w:pos="-142"/>
        <w:tab w:val="left" w:pos="2340"/>
        <w:tab w:val="left" w:pos="3402"/>
        <w:tab w:val="left" w:pos="3780"/>
        <w:tab w:val="left" w:pos="4680"/>
        <w:tab w:val="left" w:pos="5103"/>
        <w:tab w:val="left" w:pos="6096"/>
        <w:tab w:val="left" w:pos="6840"/>
      </w:tabs>
      <w:ind w:left="-540" w:right="-828"/>
      <w:rPr>
        <w:rFonts w:ascii="Arial" w:hAnsi="Arial" w:cs="Arial"/>
        <w:color w:val="006BB3"/>
        <w:sz w:val="16"/>
        <w:szCs w:val="16"/>
      </w:rPr>
    </w:pPr>
    <w:r>
      <w:rPr>
        <w:rFonts w:ascii="Arial" w:hAnsi="Arial" w:cs="Arial"/>
        <w:noProof/>
        <w:color w:val="006BB3"/>
        <w:sz w:val="16"/>
        <w:szCs w:val="16"/>
        <w:lang w:val="nl-BE" w:eastAsia="nl-BE"/>
      </w:rPr>
      <mc:AlternateContent>
        <mc:Choice Requires="wpc">
          <w:drawing>
            <wp:inline distT="0" distB="0" distL="0" distR="0" wp14:anchorId="757CD92B" wp14:editId="51A42E19">
              <wp:extent cx="6629400" cy="342900"/>
              <wp:effectExtent l="13970" t="4445" r="0" b="0"/>
              <wp:docPr id="5" name="Papier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6"/>
                      <wps:cNvCnPr>
                        <a:cxnSpLocks noChangeShapeType="1"/>
                      </wps:cNvCnPr>
                      <wps:spPr bwMode="auto">
                        <a:xfrm>
                          <a:off x="0" y="228600"/>
                          <a:ext cx="6515381" cy="900"/>
                        </a:xfrm>
                        <a:prstGeom prst="line">
                          <a:avLst/>
                        </a:prstGeom>
                        <a:noFill/>
                        <a:ln w="6350">
                          <a:solidFill>
                            <a:srgbClr val="006BB3"/>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id="Papier 4" o:spid="_x0000_i2049" style="width:522pt;height:27pt;mso-position-horizontal-relative:char;mso-position-vertical-relative:line" coordsize="66294,34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width:66294;height:3429;mso-wrap-style:square;position:absolute;visibility:visible">
                <v:fill o:detectmouseclick="t"/>
              </v:shape>
              <v:line id="Line 6" o:spid="_x0000_s2051" style="mso-wrap-style:square;position:absolute;visibility:visible" from="0,2286" to="65153,2295" o:connectortype="straight" strokecolor="#006bb3" strokeweight="0.5pt"/>
              <w10:wrap type="none"/>
              <w10:anchorlock/>
            </v:group>
          </w:pict>
        </mc:Fallback>
      </mc:AlternateContent>
    </w:r>
  </w:p>
  <w:p w14:paraId="1486B50F" w14:textId="77777777" w:rsidR="007C0EA5" w:rsidRPr="00CA37F3" w:rsidRDefault="00FE69EA" w:rsidP="007C0EA5">
    <w:pPr>
      <w:pStyle w:val="BodyTextIndent2"/>
      <w:pBdr>
        <w:top w:val="none" w:sz="0" w:space="0" w:color="auto"/>
      </w:pBdr>
      <w:tabs>
        <w:tab w:val="clear" w:pos="-720"/>
        <w:tab w:val="clear" w:pos="3969"/>
        <w:tab w:val="clear" w:pos="4251"/>
        <w:tab w:val="left" w:pos="-142"/>
        <w:tab w:val="left" w:pos="180"/>
        <w:tab w:val="left" w:pos="2340"/>
        <w:tab w:val="left" w:pos="3060"/>
        <w:tab w:val="left" w:pos="4680"/>
        <w:tab w:val="left" w:pos="5103"/>
        <w:tab w:val="left" w:pos="6120"/>
        <w:tab w:val="left" w:pos="7020"/>
      </w:tabs>
      <w:ind w:left="-900" w:right="-828"/>
      <w:rPr>
        <w:rFonts w:ascii="Arial" w:hAnsi="Arial" w:cs="Arial"/>
        <w:color w:val="006BB3"/>
        <w:sz w:val="16"/>
        <w:szCs w:val="16"/>
        <w:lang w:val="nl-BE"/>
      </w:rPr>
    </w:pPr>
    <w:r>
      <w:rPr>
        <w:rFonts w:ascii="Arial" w:hAnsi="Arial" w:cs="Arial"/>
        <w:color w:val="006BB3"/>
        <w:sz w:val="16"/>
        <w:szCs w:val="16"/>
        <w:lang w:val="nl-NL"/>
      </w:rPr>
      <w:tab/>
      <w:t>EFBH-FETBB</w:t>
    </w:r>
    <w:r>
      <w:rPr>
        <w:rFonts w:ascii="Arial" w:hAnsi="Arial" w:cs="Arial"/>
        <w:color w:val="006BB3"/>
        <w:sz w:val="16"/>
        <w:szCs w:val="16"/>
        <w:lang w:val="nl-NL"/>
      </w:rPr>
      <w:tab/>
    </w:r>
    <w:r>
      <w:rPr>
        <w:rFonts w:ascii="Arial" w:hAnsi="Arial" w:cs="Arial"/>
        <w:color w:val="006BB3"/>
        <w:sz w:val="16"/>
        <w:szCs w:val="16"/>
        <w:lang w:val="nl-NL"/>
      </w:rPr>
      <w:tab/>
    </w:r>
    <w:r w:rsidRPr="00561C10">
      <w:rPr>
        <w:rFonts w:ascii="Wingdings" w:hAnsi="Wingdings" w:cs="Arial"/>
        <w:color w:val="006BB3"/>
        <w:sz w:val="16"/>
        <w:szCs w:val="16"/>
        <w:lang w:val="nl-NL"/>
      </w:rPr>
      <w:sym w:font="Wingdings" w:char="F028"/>
    </w:r>
    <w:r>
      <w:rPr>
        <w:rFonts w:ascii="Arial" w:hAnsi="Arial" w:cs="Arial"/>
        <w:color w:val="006BB3"/>
        <w:sz w:val="16"/>
        <w:szCs w:val="16"/>
        <w:lang w:val="nl-NL"/>
      </w:rPr>
      <w:t>: 32-2-227 10 40</w:t>
    </w:r>
    <w:r>
      <w:rPr>
        <w:rFonts w:ascii="Arial" w:hAnsi="Arial" w:cs="Arial"/>
        <w:color w:val="006BB3"/>
        <w:sz w:val="16"/>
        <w:szCs w:val="16"/>
        <w:lang w:val="nl-NL"/>
      </w:rPr>
      <w:tab/>
    </w:r>
    <w:r>
      <w:rPr>
        <w:rFonts w:ascii="Arial" w:hAnsi="Arial" w:cs="Arial"/>
        <w:color w:val="006BB3"/>
        <w:sz w:val="16"/>
        <w:szCs w:val="16"/>
        <w:lang w:val="nl-NL"/>
      </w:rPr>
      <w:tab/>
    </w:r>
    <w:r>
      <w:rPr>
        <w:rFonts w:ascii="Arial" w:hAnsi="Arial" w:cs="Arial"/>
        <w:color w:val="006BB3"/>
        <w:sz w:val="16"/>
        <w:szCs w:val="16"/>
        <w:lang w:val="nl-NL"/>
      </w:rPr>
      <w:tab/>
      <w:t>Bank: ING–1000 Brussel nr. 310-1182547-09</w:t>
    </w:r>
  </w:p>
  <w:p w14:paraId="0EDCB5BA" w14:textId="77777777" w:rsidR="007C0EA5" w:rsidRPr="00CA37F3" w:rsidRDefault="00FE69EA" w:rsidP="007C0EA5">
    <w:pPr>
      <w:pStyle w:val="BodyTextIndent2"/>
      <w:pBdr>
        <w:top w:val="none" w:sz="0" w:space="0" w:color="auto"/>
      </w:pBdr>
      <w:tabs>
        <w:tab w:val="clear" w:pos="-720"/>
        <w:tab w:val="clear" w:pos="3969"/>
        <w:tab w:val="clear" w:pos="4251"/>
        <w:tab w:val="left" w:pos="-142"/>
        <w:tab w:val="left" w:pos="180"/>
        <w:tab w:val="left" w:pos="2340"/>
        <w:tab w:val="left" w:pos="3060"/>
        <w:tab w:val="left" w:pos="4536"/>
        <w:tab w:val="left" w:pos="4680"/>
        <w:tab w:val="left" w:pos="5103"/>
        <w:tab w:val="left" w:pos="6120"/>
        <w:tab w:val="left" w:pos="7020"/>
      </w:tabs>
      <w:ind w:left="-900" w:right="-828"/>
      <w:rPr>
        <w:rFonts w:ascii="Arial" w:hAnsi="Arial" w:cs="Arial"/>
        <w:color w:val="006BB3"/>
        <w:sz w:val="16"/>
        <w:szCs w:val="16"/>
        <w:lang w:val="nl-BE"/>
      </w:rPr>
    </w:pPr>
    <w:r w:rsidRPr="00634F56">
      <w:rPr>
        <w:rFonts w:ascii="Arial" w:hAnsi="Arial" w:cs="Arial"/>
        <w:color w:val="006BB3"/>
        <w:sz w:val="16"/>
        <w:szCs w:val="16"/>
        <w:lang w:val="nl-NL"/>
      </w:rPr>
      <w:tab/>
      <w:t>Koningsstraat 45, bus 1</w:t>
    </w:r>
    <w:r w:rsidRPr="00634F56">
      <w:rPr>
        <w:rFonts w:ascii="Arial" w:hAnsi="Arial" w:cs="Arial"/>
        <w:color w:val="006BB3"/>
        <w:sz w:val="16"/>
        <w:szCs w:val="16"/>
        <w:lang w:val="nl-NL"/>
      </w:rPr>
      <w:tab/>
    </w:r>
    <w:r w:rsidRPr="00634F56">
      <w:rPr>
        <w:rFonts w:ascii="Arial" w:hAnsi="Arial" w:cs="Arial"/>
        <w:color w:val="006BB3"/>
        <w:sz w:val="16"/>
        <w:szCs w:val="16"/>
        <w:lang w:val="nl-NL"/>
      </w:rPr>
      <w:tab/>
      <w:t>Fax: 32-2-219 82 28</w:t>
    </w:r>
    <w:r w:rsidRPr="00634F56">
      <w:rPr>
        <w:rFonts w:ascii="Arial" w:hAnsi="Arial" w:cs="Arial"/>
        <w:color w:val="006BB3"/>
        <w:sz w:val="16"/>
        <w:szCs w:val="16"/>
        <w:lang w:val="nl-NL"/>
      </w:rPr>
      <w:tab/>
    </w:r>
    <w:r w:rsidRPr="00634F56">
      <w:rPr>
        <w:rFonts w:ascii="Arial" w:hAnsi="Arial" w:cs="Arial"/>
        <w:color w:val="006BB3"/>
        <w:sz w:val="16"/>
        <w:szCs w:val="16"/>
        <w:lang w:val="nl-NL"/>
      </w:rPr>
      <w:tab/>
    </w:r>
    <w:r w:rsidRPr="00634F56">
      <w:rPr>
        <w:rFonts w:ascii="Arial" w:hAnsi="Arial" w:cs="Arial"/>
        <w:color w:val="006BB3"/>
        <w:sz w:val="16"/>
        <w:szCs w:val="16"/>
        <w:lang w:val="nl-NL"/>
      </w:rPr>
      <w:tab/>
    </w:r>
    <w:r w:rsidRPr="00634F56">
      <w:rPr>
        <w:rFonts w:ascii="Arial" w:hAnsi="Arial" w:cs="Arial"/>
        <w:color w:val="006BB3"/>
        <w:sz w:val="16"/>
        <w:szCs w:val="16"/>
        <w:lang w:val="nl-NL"/>
      </w:rPr>
      <w:tab/>
      <w:t>IBAN: BE52 3101 1825 4709</w:t>
    </w:r>
  </w:p>
  <w:p w14:paraId="443459AA" w14:textId="23F1AB99" w:rsidR="007C0EA5" w:rsidRPr="00D12811" w:rsidRDefault="00FE69EA" w:rsidP="007C0EA5">
    <w:pPr>
      <w:pStyle w:val="Footer"/>
      <w:tabs>
        <w:tab w:val="clear" w:pos="4536"/>
        <w:tab w:val="left" w:pos="-142"/>
        <w:tab w:val="left" w:pos="180"/>
        <w:tab w:val="left" w:pos="2340"/>
        <w:tab w:val="left" w:pos="3060"/>
        <w:tab w:val="left" w:pos="4680"/>
        <w:tab w:val="left" w:pos="5103"/>
        <w:tab w:val="left" w:pos="6120"/>
        <w:tab w:val="left" w:pos="7020"/>
      </w:tabs>
      <w:ind w:left="-900" w:right="-828"/>
      <w:jc w:val="both"/>
      <w:rPr>
        <w:rFonts w:ascii="Arial" w:hAnsi="Arial" w:cs="Arial"/>
        <w:color w:val="006BB3"/>
        <w:sz w:val="16"/>
        <w:szCs w:val="16"/>
        <w:lang w:val="de-DE"/>
      </w:rPr>
    </w:pPr>
    <w:r w:rsidRPr="00D12811">
      <w:rPr>
        <w:rFonts w:ascii="Arial" w:hAnsi="Arial" w:cs="Arial"/>
        <w:color w:val="006BB3"/>
        <w:sz w:val="16"/>
        <w:szCs w:val="16"/>
        <w:lang w:val="nl-NL"/>
      </w:rPr>
      <w:tab/>
      <w:t>B - 1000 Brussel</w:t>
    </w:r>
    <w:r w:rsidRPr="00D12811">
      <w:rPr>
        <w:rFonts w:ascii="Arial" w:hAnsi="Arial" w:cs="Arial"/>
        <w:color w:val="006BB3"/>
        <w:sz w:val="16"/>
        <w:szCs w:val="16"/>
        <w:lang w:val="nl-NL"/>
      </w:rPr>
      <w:tab/>
    </w:r>
    <w:r w:rsidRPr="00D12811">
      <w:rPr>
        <w:rFonts w:ascii="Arial" w:hAnsi="Arial" w:cs="Arial"/>
        <w:color w:val="006BB3"/>
        <w:sz w:val="16"/>
        <w:szCs w:val="16"/>
        <w:lang w:val="nl-NL"/>
      </w:rPr>
      <w:tab/>
      <w:t xml:space="preserve">E-mail: </w:t>
    </w:r>
    <w:hyperlink r:id="rId1" w:history="1">
      <w:r w:rsidR="00997DA0" w:rsidRPr="00D0756A">
        <w:rPr>
          <w:rStyle w:val="Hyperlink"/>
          <w:rFonts w:ascii="Arial" w:hAnsi="Arial" w:cs="Arial"/>
          <w:sz w:val="16"/>
          <w:szCs w:val="16"/>
          <w:u w:val="none"/>
          <w:lang w:val="nl-NL"/>
        </w:rPr>
        <w:t>info@efbww.eu</w:t>
      </w:r>
    </w:hyperlink>
    <w:r w:rsidRPr="00D12811">
      <w:rPr>
        <w:rFonts w:ascii="Arial" w:hAnsi="Arial" w:cs="Arial"/>
        <w:color w:val="006BB3"/>
        <w:sz w:val="16"/>
        <w:szCs w:val="16"/>
        <w:lang w:val="nl-NL"/>
      </w:rPr>
      <w:tab/>
    </w:r>
    <w:r w:rsidRPr="00D12811">
      <w:rPr>
        <w:rFonts w:ascii="Arial" w:hAnsi="Arial" w:cs="Arial"/>
        <w:color w:val="006BB3"/>
        <w:sz w:val="16"/>
        <w:szCs w:val="16"/>
        <w:lang w:val="nl-NL"/>
      </w:rPr>
      <w:tab/>
      <w:t>BIC: BBRUBEBB</w:t>
    </w:r>
  </w:p>
  <w:p w14:paraId="2760B855" w14:textId="39BD83D9" w:rsidR="007C0EA5" w:rsidRPr="00CC26B1" w:rsidRDefault="00FE69EA" w:rsidP="007C0EA5">
    <w:pPr>
      <w:pStyle w:val="Footer"/>
      <w:tabs>
        <w:tab w:val="clear" w:pos="4536"/>
        <w:tab w:val="left" w:pos="-142"/>
        <w:tab w:val="left" w:pos="2340"/>
        <w:tab w:val="left" w:pos="3060"/>
        <w:tab w:val="left" w:pos="6120"/>
        <w:tab w:val="left" w:pos="7020"/>
      </w:tabs>
      <w:ind w:left="-900" w:right="-828"/>
      <w:rPr>
        <w:rFonts w:ascii="Arial" w:hAnsi="Arial" w:cs="Arial"/>
        <w:color w:val="006BB3"/>
        <w:lang w:val="fr-BE"/>
      </w:rPr>
    </w:pPr>
    <w:r w:rsidRPr="00D12811">
      <w:rPr>
        <w:rFonts w:ascii="Arial" w:hAnsi="Arial" w:cs="Arial"/>
        <w:color w:val="006BB3"/>
        <w:sz w:val="16"/>
        <w:szCs w:val="16"/>
        <w:lang w:val="nl-NL"/>
      </w:rPr>
      <w:tab/>
    </w:r>
    <w:r w:rsidRPr="00D12811">
      <w:rPr>
        <w:rFonts w:ascii="Arial" w:hAnsi="Arial" w:cs="Arial"/>
        <w:color w:val="006BB3"/>
        <w:sz w:val="16"/>
        <w:szCs w:val="16"/>
        <w:lang w:val="nl-NL"/>
      </w:rPr>
      <w:tab/>
    </w:r>
    <w:r w:rsidRPr="00D12811">
      <w:rPr>
        <w:rFonts w:ascii="Arial" w:hAnsi="Arial" w:cs="Arial"/>
        <w:color w:val="006BB3"/>
        <w:sz w:val="16"/>
        <w:szCs w:val="16"/>
        <w:lang w:val="nl-NL"/>
      </w:rPr>
      <w:tab/>
    </w:r>
    <w:hyperlink r:id="rId2" w:history="1">
      <w:r w:rsidR="00997DA0" w:rsidRPr="00D0756A">
        <w:rPr>
          <w:rStyle w:val="Hyperlink"/>
          <w:rFonts w:ascii="Arial" w:hAnsi="Arial" w:cs="Arial"/>
          <w:sz w:val="16"/>
          <w:szCs w:val="16"/>
          <w:lang w:val="nl-NL"/>
        </w:rPr>
        <w:t>www.efbww.</w:t>
      </w:r>
      <w:r w:rsidR="00A93F3F">
        <w:rPr>
          <w:rStyle w:val="Hyperlink"/>
          <w:rFonts w:ascii="Arial" w:hAnsi="Arial" w:cs="Arial"/>
          <w:sz w:val="16"/>
          <w:szCs w:val="16"/>
          <w:lang w:val="nl-NL"/>
        </w:rPr>
        <w:t>eu</w:t>
      </w:r>
    </w:hyperlink>
    <w:r w:rsidRPr="007C0EA5">
      <w:rPr>
        <w:rFonts w:ascii="Arial" w:hAnsi="Arial" w:cs="Arial"/>
        <w:color w:val="006BB3"/>
        <w:sz w:val="16"/>
        <w:szCs w:val="16"/>
        <w:lang w:val="nl-NL"/>
      </w:rPr>
      <w:tab/>
      <w:t>Ondernemingsnummer: 0891.295.980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EFD702" w14:textId="77777777" w:rsidR="003F4372" w:rsidRDefault="003F4372">
      <w:r>
        <w:separator/>
      </w:r>
    </w:p>
  </w:footnote>
  <w:footnote w:type="continuationSeparator" w:id="0">
    <w:p w14:paraId="5DE8D13C" w14:textId="77777777" w:rsidR="003F4372" w:rsidRDefault="003F43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C056E8"/>
    <w:multiLevelType w:val="hybridMultilevel"/>
    <w:tmpl w:val="A5E02C76"/>
    <w:lvl w:ilvl="0" w:tplc="EEE2F688">
      <w:start w:val="1"/>
      <w:numFmt w:val="bullet"/>
      <w:lvlText w:val=""/>
      <w:lvlJc w:val="left"/>
      <w:pPr>
        <w:ind w:left="720" w:hanging="360"/>
      </w:pPr>
      <w:rPr>
        <w:rFonts w:ascii="Symbol" w:hAnsi="Symbol" w:hint="default"/>
      </w:rPr>
    </w:lvl>
    <w:lvl w:ilvl="1" w:tplc="6DDAD0F2" w:tentative="1">
      <w:start w:val="1"/>
      <w:numFmt w:val="bullet"/>
      <w:lvlText w:val="o"/>
      <w:lvlJc w:val="left"/>
      <w:pPr>
        <w:ind w:left="1440" w:hanging="360"/>
      </w:pPr>
      <w:rPr>
        <w:rFonts w:ascii="Courier New" w:hAnsi="Courier New" w:cs="Courier New" w:hint="default"/>
      </w:rPr>
    </w:lvl>
    <w:lvl w:ilvl="2" w:tplc="77E0329C" w:tentative="1">
      <w:start w:val="1"/>
      <w:numFmt w:val="bullet"/>
      <w:lvlText w:val=""/>
      <w:lvlJc w:val="left"/>
      <w:pPr>
        <w:ind w:left="2160" w:hanging="360"/>
      </w:pPr>
      <w:rPr>
        <w:rFonts w:ascii="Wingdings" w:hAnsi="Wingdings" w:hint="default"/>
      </w:rPr>
    </w:lvl>
    <w:lvl w:ilvl="3" w:tplc="F7262BA6" w:tentative="1">
      <w:start w:val="1"/>
      <w:numFmt w:val="bullet"/>
      <w:lvlText w:val=""/>
      <w:lvlJc w:val="left"/>
      <w:pPr>
        <w:ind w:left="2880" w:hanging="360"/>
      </w:pPr>
      <w:rPr>
        <w:rFonts w:ascii="Symbol" w:hAnsi="Symbol" w:hint="default"/>
      </w:rPr>
    </w:lvl>
    <w:lvl w:ilvl="4" w:tplc="DA8E30AC" w:tentative="1">
      <w:start w:val="1"/>
      <w:numFmt w:val="bullet"/>
      <w:lvlText w:val="o"/>
      <w:lvlJc w:val="left"/>
      <w:pPr>
        <w:ind w:left="3600" w:hanging="360"/>
      </w:pPr>
      <w:rPr>
        <w:rFonts w:ascii="Courier New" w:hAnsi="Courier New" w:cs="Courier New" w:hint="default"/>
      </w:rPr>
    </w:lvl>
    <w:lvl w:ilvl="5" w:tplc="C13CCF96" w:tentative="1">
      <w:start w:val="1"/>
      <w:numFmt w:val="bullet"/>
      <w:lvlText w:val=""/>
      <w:lvlJc w:val="left"/>
      <w:pPr>
        <w:ind w:left="4320" w:hanging="360"/>
      </w:pPr>
      <w:rPr>
        <w:rFonts w:ascii="Wingdings" w:hAnsi="Wingdings" w:hint="default"/>
      </w:rPr>
    </w:lvl>
    <w:lvl w:ilvl="6" w:tplc="5E9E4186" w:tentative="1">
      <w:start w:val="1"/>
      <w:numFmt w:val="bullet"/>
      <w:lvlText w:val=""/>
      <w:lvlJc w:val="left"/>
      <w:pPr>
        <w:ind w:left="5040" w:hanging="360"/>
      </w:pPr>
      <w:rPr>
        <w:rFonts w:ascii="Symbol" w:hAnsi="Symbol" w:hint="default"/>
      </w:rPr>
    </w:lvl>
    <w:lvl w:ilvl="7" w:tplc="295283A8" w:tentative="1">
      <w:start w:val="1"/>
      <w:numFmt w:val="bullet"/>
      <w:lvlText w:val="o"/>
      <w:lvlJc w:val="left"/>
      <w:pPr>
        <w:ind w:left="5760" w:hanging="360"/>
      </w:pPr>
      <w:rPr>
        <w:rFonts w:ascii="Courier New" w:hAnsi="Courier New" w:cs="Courier New" w:hint="default"/>
      </w:rPr>
    </w:lvl>
    <w:lvl w:ilvl="8" w:tplc="4A60C4DC" w:tentative="1">
      <w:start w:val="1"/>
      <w:numFmt w:val="bullet"/>
      <w:lvlText w:val=""/>
      <w:lvlJc w:val="left"/>
      <w:pPr>
        <w:ind w:left="6480" w:hanging="360"/>
      </w:pPr>
      <w:rPr>
        <w:rFonts w:ascii="Wingdings" w:hAnsi="Wingdings" w:hint="default"/>
      </w:rPr>
    </w:lvl>
  </w:abstractNum>
  <w:abstractNum w:abstractNumId="1" w15:restartNumberingAfterBreak="0">
    <w:nsid w:val="2C4939B7"/>
    <w:multiLevelType w:val="multilevel"/>
    <w:tmpl w:val="E0CED6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33B15664"/>
    <w:multiLevelType w:val="hybridMultilevel"/>
    <w:tmpl w:val="E6A4B294"/>
    <w:lvl w:ilvl="0" w:tplc="F016150E">
      <w:start w:val="1"/>
      <w:numFmt w:val="bullet"/>
      <w:lvlText w:val=""/>
      <w:lvlJc w:val="left"/>
      <w:pPr>
        <w:ind w:left="720" w:hanging="360"/>
      </w:pPr>
      <w:rPr>
        <w:rFonts w:ascii="Symbol" w:hAnsi="Symbol" w:hint="default"/>
      </w:rPr>
    </w:lvl>
    <w:lvl w:ilvl="1" w:tplc="007E1CC2" w:tentative="1">
      <w:start w:val="1"/>
      <w:numFmt w:val="bullet"/>
      <w:lvlText w:val="o"/>
      <w:lvlJc w:val="left"/>
      <w:pPr>
        <w:ind w:left="1440" w:hanging="360"/>
      </w:pPr>
      <w:rPr>
        <w:rFonts w:ascii="Courier New" w:hAnsi="Courier New" w:hint="default"/>
      </w:rPr>
    </w:lvl>
    <w:lvl w:ilvl="2" w:tplc="B5D67DA8" w:tentative="1">
      <w:start w:val="1"/>
      <w:numFmt w:val="bullet"/>
      <w:lvlText w:val=""/>
      <w:lvlJc w:val="left"/>
      <w:pPr>
        <w:ind w:left="2160" w:hanging="360"/>
      </w:pPr>
      <w:rPr>
        <w:rFonts w:ascii="Wingdings" w:hAnsi="Wingdings" w:hint="default"/>
      </w:rPr>
    </w:lvl>
    <w:lvl w:ilvl="3" w:tplc="1CDC9CDA" w:tentative="1">
      <w:start w:val="1"/>
      <w:numFmt w:val="bullet"/>
      <w:lvlText w:val=""/>
      <w:lvlJc w:val="left"/>
      <w:pPr>
        <w:ind w:left="2880" w:hanging="360"/>
      </w:pPr>
      <w:rPr>
        <w:rFonts w:ascii="Symbol" w:hAnsi="Symbol" w:hint="default"/>
      </w:rPr>
    </w:lvl>
    <w:lvl w:ilvl="4" w:tplc="EF1801A2" w:tentative="1">
      <w:start w:val="1"/>
      <w:numFmt w:val="bullet"/>
      <w:lvlText w:val="o"/>
      <w:lvlJc w:val="left"/>
      <w:pPr>
        <w:ind w:left="3600" w:hanging="360"/>
      </w:pPr>
      <w:rPr>
        <w:rFonts w:ascii="Courier New" w:hAnsi="Courier New" w:hint="default"/>
      </w:rPr>
    </w:lvl>
    <w:lvl w:ilvl="5" w:tplc="DF8EFDC4" w:tentative="1">
      <w:start w:val="1"/>
      <w:numFmt w:val="bullet"/>
      <w:lvlText w:val=""/>
      <w:lvlJc w:val="left"/>
      <w:pPr>
        <w:ind w:left="4320" w:hanging="360"/>
      </w:pPr>
      <w:rPr>
        <w:rFonts w:ascii="Wingdings" w:hAnsi="Wingdings" w:hint="default"/>
      </w:rPr>
    </w:lvl>
    <w:lvl w:ilvl="6" w:tplc="F22C3DAC" w:tentative="1">
      <w:start w:val="1"/>
      <w:numFmt w:val="bullet"/>
      <w:lvlText w:val=""/>
      <w:lvlJc w:val="left"/>
      <w:pPr>
        <w:ind w:left="5040" w:hanging="360"/>
      </w:pPr>
      <w:rPr>
        <w:rFonts w:ascii="Symbol" w:hAnsi="Symbol" w:hint="default"/>
      </w:rPr>
    </w:lvl>
    <w:lvl w:ilvl="7" w:tplc="7B9EE97A" w:tentative="1">
      <w:start w:val="1"/>
      <w:numFmt w:val="bullet"/>
      <w:lvlText w:val="o"/>
      <w:lvlJc w:val="left"/>
      <w:pPr>
        <w:ind w:left="5760" w:hanging="360"/>
      </w:pPr>
      <w:rPr>
        <w:rFonts w:ascii="Courier New" w:hAnsi="Courier New" w:hint="default"/>
      </w:rPr>
    </w:lvl>
    <w:lvl w:ilvl="8" w:tplc="A9583BCA" w:tentative="1">
      <w:start w:val="1"/>
      <w:numFmt w:val="bullet"/>
      <w:lvlText w:val=""/>
      <w:lvlJc w:val="left"/>
      <w:pPr>
        <w:ind w:left="6480" w:hanging="360"/>
      </w:pPr>
      <w:rPr>
        <w:rFonts w:ascii="Wingdings" w:hAnsi="Wingdings" w:hint="default"/>
      </w:rPr>
    </w:lvl>
  </w:abstractNum>
  <w:abstractNum w:abstractNumId="3" w15:restartNumberingAfterBreak="0">
    <w:nsid w:val="3BBC5BCF"/>
    <w:multiLevelType w:val="multilevel"/>
    <w:tmpl w:val="D1C4069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429A3E9E"/>
    <w:multiLevelType w:val="hybridMultilevel"/>
    <w:tmpl w:val="8DFEED9C"/>
    <w:lvl w:ilvl="0" w:tplc="0C5C66B8">
      <w:start w:val="1"/>
      <w:numFmt w:val="bullet"/>
      <w:lvlText w:val=""/>
      <w:lvlJc w:val="left"/>
      <w:pPr>
        <w:ind w:left="720" w:hanging="360"/>
      </w:pPr>
      <w:rPr>
        <w:rFonts w:ascii="Symbol" w:hAnsi="Symbol" w:hint="default"/>
      </w:rPr>
    </w:lvl>
    <w:lvl w:ilvl="1" w:tplc="FC88B67C" w:tentative="1">
      <w:start w:val="1"/>
      <w:numFmt w:val="bullet"/>
      <w:lvlText w:val="o"/>
      <w:lvlJc w:val="left"/>
      <w:pPr>
        <w:ind w:left="1440" w:hanging="360"/>
      </w:pPr>
      <w:rPr>
        <w:rFonts w:ascii="Courier New" w:hAnsi="Courier New" w:cs="Courier New" w:hint="default"/>
      </w:rPr>
    </w:lvl>
    <w:lvl w:ilvl="2" w:tplc="691CCD4E" w:tentative="1">
      <w:start w:val="1"/>
      <w:numFmt w:val="bullet"/>
      <w:lvlText w:val=""/>
      <w:lvlJc w:val="left"/>
      <w:pPr>
        <w:ind w:left="2160" w:hanging="360"/>
      </w:pPr>
      <w:rPr>
        <w:rFonts w:ascii="Wingdings" w:hAnsi="Wingdings" w:hint="default"/>
      </w:rPr>
    </w:lvl>
    <w:lvl w:ilvl="3" w:tplc="A044E85E" w:tentative="1">
      <w:start w:val="1"/>
      <w:numFmt w:val="bullet"/>
      <w:lvlText w:val=""/>
      <w:lvlJc w:val="left"/>
      <w:pPr>
        <w:ind w:left="2880" w:hanging="360"/>
      </w:pPr>
      <w:rPr>
        <w:rFonts w:ascii="Symbol" w:hAnsi="Symbol" w:hint="default"/>
      </w:rPr>
    </w:lvl>
    <w:lvl w:ilvl="4" w:tplc="0FAEF470" w:tentative="1">
      <w:start w:val="1"/>
      <w:numFmt w:val="bullet"/>
      <w:lvlText w:val="o"/>
      <w:lvlJc w:val="left"/>
      <w:pPr>
        <w:ind w:left="3600" w:hanging="360"/>
      </w:pPr>
      <w:rPr>
        <w:rFonts w:ascii="Courier New" w:hAnsi="Courier New" w:cs="Courier New" w:hint="default"/>
      </w:rPr>
    </w:lvl>
    <w:lvl w:ilvl="5" w:tplc="1D92F0B8" w:tentative="1">
      <w:start w:val="1"/>
      <w:numFmt w:val="bullet"/>
      <w:lvlText w:val=""/>
      <w:lvlJc w:val="left"/>
      <w:pPr>
        <w:ind w:left="4320" w:hanging="360"/>
      </w:pPr>
      <w:rPr>
        <w:rFonts w:ascii="Wingdings" w:hAnsi="Wingdings" w:hint="default"/>
      </w:rPr>
    </w:lvl>
    <w:lvl w:ilvl="6" w:tplc="66DC739C" w:tentative="1">
      <w:start w:val="1"/>
      <w:numFmt w:val="bullet"/>
      <w:lvlText w:val=""/>
      <w:lvlJc w:val="left"/>
      <w:pPr>
        <w:ind w:left="5040" w:hanging="360"/>
      </w:pPr>
      <w:rPr>
        <w:rFonts w:ascii="Symbol" w:hAnsi="Symbol" w:hint="default"/>
      </w:rPr>
    </w:lvl>
    <w:lvl w:ilvl="7" w:tplc="810C47FE" w:tentative="1">
      <w:start w:val="1"/>
      <w:numFmt w:val="bullet"/>
      <w:lvlText w:val="o"/>
      <w:lvlJc w:val="left"/>
      <w:pPr>
        <w:ind w:left="5760" w:hanging="360"/>
      </w:pPr>
      <w:rPr>
        <w:rFonts w:ascii="Courier New" w:hAnsi="Courier New" w:cs="Courier New" w:hint="default"/>
      </w:rPr>
    </w:lvl>
    <w:lvl w:ilvl="8" w:tplc="5F6E71A2" w:tentative="1">
      <w:start w:val="1"/>
      <w:numFmt w:val="bullet"/>
      <w:lvlText w:val=""/>
      <w:lvlJc w:val="left"/>
      <w:pPr>
        <w:ind w:left="6480" w:hanging="360"/>
      </w:pPr>
      <w:rPr>
        <w:rFonts w:ascii="Wingdings" w:hAnsi="Wingdings" w:hint="default"/>
      </w:rPr>
    </w:lvl>
  </w:abstractNum>
  <w:abstractNum w:abstractNumId="5" w15:restartNumberingAfterBreak="0">
    <w:nsid w:val="469E6663"/>
    <w:multiLevelType w:val="multilevel"/>
    <w:tmpl w:val="72C8EAF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15:restartNumberingAfterBreak="0">
    <w:nsid w:val="46D7667A"/>
    <w:multiLevelType w:val="multilevel"/>
    <w:tmpl w:val="68A6004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6E11549F"/>
    <w:multiLevelType w:val="hybridMultilevel"/>
    <w:tmpl w:val="2DC2B6C2"/>
    <w:lvl w:ilvl="0" w:tplc="7B2E274E">
      <w:start w:val="1"/>
      <w:numFmt w:val="bullet"/>
      <w:lvlText w:val=""/>
      <w:lvlJc w:val="left"/>
      <w:pPr>
        <w:ind w:left="720" w:hanging="360"/>
      </w:pPr>
      <w:rPr>
        <w:rFonts w:ascii="Symbol" w:hAnsi="Symbol" w:hint="default"/>
      </w:rPr>
    </w:lvl>
    <w:lvl w:ilvl="1" w:tplc="48E865D2" w:tentative="1">
      <w:start w:val="1"/>
      <w:numFmt w:val="bullet"/>
      <w:lvlText w:val="o"/>
      <w:lvlJc w:val="left"/>
      <w:pPr>
        <w:ind w:left="1440" w:hanging="360"/>
      </w:pPr>
      <w:rPr>
        <w:rFonts w:ascii="Courier New" w:hAnsi="Courier New" w:cs="Courier New" w:hint="default"/>
      </w:rPr>
    </w:lvl>
    <w:lvl w:ilvl="2" w:tplc="9190BFB8" w:tentative="1">
      <w:start w:val="1"/>
      <w:numFmt w:val="bullet"/>
      <w:lvlText w:val=""/>
      <w:lvlJc w:val="left"/>
      <w:pPr>
        <w:ind w:left="2160" w:hanging="360"/>
      </w:pPr>
      <w:rPr>
        <w:rFonts w:ascii="Wingdings" w:hAnsi="Wingdings" w:hint="default"/>
      </w:rPr>
    </w:lvl>
    <w:lvl w:ilvl="3" w:tplc="A080C9F6" w:tentative="1">
      <w:start w:val="1"/>
      <w:numFmt w:val="bullet"/>
      <w:lvlText w:val=""/>
      <w:lvlJc w:val="left"/>
      <w:pPr>
        <w:ind w:left="2880" w:hanging="360"/>
      </w:pPr>
      <w:rPr>
        <w:rFonts w:ascii="Symbol" w:hAnsi="Symbol" w:hint="default"/>
      </w:rPr>
    </w:lvl>
    <w:lvl w:ilvl="4" w:tplc="8FA2D35A" w:tentative="1">
      <w:start w:val="1"/>
      <w:numFmt w:val="bullet"/>
      <w:lvlText w:val="o"/>
      <w:lvlJc w:val="left"/>
      <w:pPr>
        <w:ind w:left="3600" w:hanging="360"/>
      </w:pPr>
      <w:rPr>
        <w:rFonts w:ascii="Courier New" w:hAnsi="Courier New" w:cs="Courier New" w:hint="default"/>
      </w:rPr>
    </w:lvl>
    <w:lvl w:ilvl="5" w:tplc="B1A6C6FC" w:tentative="1">
      <w:start w:val="1"/>
      <w:numFmt w:val="bullet"/>
      <w:lvlText w:val=""/>
      <w:lvlJc w:val="left"/>
      <w:pPr>
        <w:ind w:left="4320" w:hanging="360"/>
      </w:pPr>
      <w:rPr>
        <w:rFonts w:ascii="Wingdings" w:hAnsi="Wingdings" w:hint="default"/>
      </w:rPr>
    </w:lvl>
    <w:lvl w:ilvl="6" w:tplc="6890B322" w:tentative="1">
      <w:start w:val="1"/>
      <w:numFmt w:val="bullet"/>
      <w:lvlText w:val=""/>
      <w:lvlJc w:val="left"/>
      <w:pPr>
        <w:ind w:left="5040" w:hanging="360"/>
      </w:pPr>
      <w:rPr>
        <w:rFonts w:ascii="Symbol" w:hAnsi="Symbol" w:hint="default"/>
      </w:rPr>
    </w:lvl>
    <w:lvl w:ilvl="7" w:tplc="AA1209D6" w:tentative="1">
      <w:start w:val="1"/>
      <w:numFmt w:val="bullet"/>
      <w:lvlText w:val="o"/>
      <w:lvlJc w:val="left"/>
      <w:pPr>
        <w:ind w:left="5760" w:hanging="360"/>
      </w:pPr>
      <w:rPr>
        <w:rFonts w:ascii="Courier New" w:hAnsi="Courier New" w:cs="Courier New" w:hint="default"/>
      </w:rPr>
    </w:lvl>
    <w:lvl w:ilvl="8" w:tplc="CD5CF7C0"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1"/>
  </w:num>
  <w:num w:numId="5">
    <w:abstractNumId w:val="6"/>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A6"/>
    <w:rsid w:val="00010F77"/>
    <w:rsid w:val="000164D9"/>
    <w:rsid w:val="00032AB8"/>
    <w:rsid w:val="000351B9"/>
    <w:rsid w:val="000870DE"/>
    <w:rsid w:val="00087E9C"/>
    <w:rsid w:val="00097419"/>
    <w:rsid w:val="0009753B"/>
    <w:rsid w:val="000B4F2C"/>
    <w:rsid w:val="000C2876"/>
    <w:rsid w:val="000C7582"/>
    <w:rsid w:val="00105933"/>
    <w:rsid w:val="00105B0B"/>
    <w:rsid w:val="001107C9"/>
    <w:rsid w:val="00152E8B"/>
    <w:rsid w:val="001624AD"/>
    <w:rsid w:val="0018373C"/>
    <w:rsid w:val="00183899"/>
    <w:rsid w:val="0019209D"/>
    <w:rsid w:val="001B7CA4"/>
    <w:rsid w:val="00216C22"/>
    <w:rsid w:val="00222AA9"/>
    <w:rsid w:val="00243AC5"/>
    <w:rsid w:val="002665E0"/>
    <w:rsid w:val="00274E66"/>
    <w:rsid w:val="00291287"/>
    <w:rsid w:val="00295480"/>
    <w:rsid w:val="002A24D4"/>
    <w:rsid w:val="002B4AED"/>
    <w:rsid w:val="002B6257"/>
    <w:rsid w:val="002C2593"/>
    <w:rsid w:val="002D27EF"/>
    <w:rsid w:val="002D4298"/>
    <w:rsid w:val="002F0513"/>
    <w:rsid w:val="002F775B"/>
    <w:rsid w:val="00304D45"/>
    <w:rsid w:val="0032682C"/>
    <w:rsid w:val="00337AF1"/>
    <w:rsid w:val="00360366"/>
    <w:rsid w:val="0036725B"/>
    <w:rsid w:val="003874FF"/>
    <w:rsid w:val="003A3AD4"/>
    <w:rsid w:val="003D26D3"/>
    <w:rsid w:val="003F4372"/>
    <w:rsid w:val="004012CB"/>
    <w:rsid w:val="0041678A"/>
    <w:rsid w:val="00434DD6"/>
    <w:rsid w:val="00471D65"/>
    <w:rsid w:val="004B17F6"/>
    <w:rsid w:val="004B77F9"/>
    <w:rsid w:val="004C2698"/>
    <w:rsid w:val="004C44F4"/>
    <w:rsid w:val="004E0837"/>
    <w:rsid w:val="004E1890"/>
    <w:rsid w:val="004F408A"/>
    <w:rsid w:val="00507F82"/>
    <w:rsid w:val="00534DB7"/>
    <w:rsid w:val="00545245"/>
    <w:rsid w:val="00561C10"/>
    <w:rsid w:val="005A26A6"/>
    <w:rsid w:val="005B5DBF"/>
    <w:rsid w:val="00610D12"/>
    <w:rsid w:val="00615B74"/>
    <w:rsid w:val="00631063"/>
    <w:rsid w:val="00634F56"/>
    <w:rsid w:val="00644F83"/>
    <w:rsid w:val="00677E1D"/>
    <w:rsid w:val="00686D66"/>
    <w:rsid w:val="006B2433"/>
    <w:rsid w:val="006C1C0D"/>
    <w:rsid w:val="006C29CB"/>
    <w:rsid w:val="006E308D"/>
    <w:rsid w:val="006E52C7"/>
    <w:rsid w:val="006F1918"/>
    <w:rsid w:val="00717CCF"/>
    <w:rsid w:val="00725578"/>
    <w:rsid w:val="007633A1"/>
    <w:rsid w:val="007C0EA5"/>
    <w:rsid w:val="007C5167"/>
    <w:rsid w:val="007E1111"/>
    <w:rsid w:val="00800AB4"/>
    <w:rsid w:val="00802E47"/>
    <w:rsid w:val="00823370"/>
    <w:rsid w:val="00851C9F"/>
    <w:rsid w:val="00874B02"/>
    <w:rsid w:val="008A699D"/>
    <w:rsid w:val="008B01E6"/>
    <w:rsid w:val="008B7D62"/>
    <w:rsid w:val="008D2915"/>
    <w:rsid w:val="00907137"/>
    <w:rsid w:val="0094251A"/>
    <w:rsid w:val="00971E88"/>
    <w:rsid w:val="00976D39"/>
    <w:rsid w:val="00997DA0"/>
    <w:rsid w:val="009A0FB7"/>
    <w:rsid w:val="009B456B"/>
    <w:rsid w:val="009E3DDF"/>
    <w:rsid w:val="009F5407"/>
    <w:rsid w:val="00A11E49"/>
    <w:rsid w:val="00A1569E"/>
    <w:rsid w:val="00A27C9F"/>
    <w:rsid w:val="00A43C4C"/>
    <w:rsid w:val="00A47474"/>
    <w:rsid w:val="00A92BE5"/>
    <w:rsid w:val="00A93F3F"/>
    <w:rsid w:val="00A95926"/>
    <w:rsid w:val="00AC084D"/>
    <w:rsid w:val="00AC3A40"/>
    <w:rsid w:val="00AD545C"/>
    <w:rsid w:val="00AE5DD6"/>
    <w:rsid w:val="00AF5502"/>
    <w:rsid w:val="00B03BE2"/>
    <w:rsid w:val="00B22858"/>
    <w:rsid w:val="00B31462"/>
    <w:rsid w:val="00B36A32"/>
    <w:rsid w:val="00B9514C"/>
    <w:rsid w:val="00BA0D33"/>
    <w:rsid w:val="00BD6798"/>
    <w:rsid w:val="00BF5BDA"/>
    <w:rsid w:val="00C055C0"/>
    <w:rsid w:val="00C0631A"/>
    <w:rsid w:val="00C1226E"/>
    <w:rsid w:val="00C15E95"/>
    <w:rsid w:val="00C21EA9"/>
    <w:rsid w:val="00C3770D"/>
    <w:rsid w:val="00C437D5"/>
    <w:rsid w:val="00C43D66"/>
    <w:rsid w:val="00C70F94"/>
    <w:rsid w:val="00C72882"/>
    <w:rsid w:val="00C96ECF"/>
    <w:rsid w:val="00CA37F3"/>
    <w:rsid w:val="00CC26B1"/>
    <w:rsid w:val="00CD04D4"/>
    <w:rsid w:val="00CF1386"/>
    <w:rsid w:val="00D0756A"/>
    <w:rsid w:val="00D12811"/>
    <w:rsid w:val="00D226F3"/>
    <w:rsid w:val="00D2368E"/>
    <w:rsid w:val="00D31593"/>
    <w:rsid w:val="00D4790E"/>
    <w:rsid w:val="00D75621"/>
    <w:rsid w:val="00D82E70"/>
    <w:rsid w:val="00D90E80"/>
    <w:rsid w:val="00D91870"/>
    <w:rsid w:val="00DA60CD"/>
    <w:rsid w:val="00DF2D37"/>
    <w:rsid w:val="00E0603B"/>
    <w:rsid w:val="00E317A2"/>
    <w:rsid w:val="00E35A67"/>
    <w:rsid w:val="00E40018"/>
    <w:rsid w:val="00E41A9C"/>
    <w:rsid w:val="00E467F6"/>
    <w:rsid w:val="00E52E5F"/>
    <w:rsid w:val="00E63F41"/>
    <w:rsid w:val="00EC0124"/>
    <w:rsid w:val="00F01CC6"/>
    <w:rsid w:val="00F20BA6"/>
    <w:rsid w:val="00F67530"/>
    <w:rsid w:val="00F67C16"/>
    <w:rsid w:val="00F75073"/>
    <w:rsid w:val="00F95069"/>
    <w:rsid w:val="00FC380A"/>
    <w:rsid w:val="00FD20EA"/>
    <w:rsid w:val="00FE29E9"/>
    <w:rsid w:val="00FE33AE"/>
    <w:rsid w:val="00FE69EA"/>
    <w:rsid w:val="00FF3A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54F7F"/>
  <w15:chartTrackingRefBased/>
  <w15:docId w15:val="{D430DED9-2FB8-4DD7-91AB-EA8659B3B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semiHidden/>
    <w:rPr>
      <w:vertAlign w:val="superscript"/>
    </w:rPr>
  </w:style>
  <w:style w:type="paragraph" w:styleId="Header">
    <w:name w:val="header"/>
    <w:basedOn w:val="Normal"/>
    <w:rsid w:val="007C0EA5"/>
    <w:pPr>
      <w:tabs>
        <w:tab w:val="center" w:pos="4536"/>
        <w:tab w:val="right" w:pos="9072"/>
      </w:tabs>
    </w:pPr>
  </w:style>
  <w:style w:type="paragraph" w:styleId="Footer">
    <w:name w:val="footer"/>
    <w:basedOn w:val="Normal"/>
    <w:rsid w:val="007C0EA5"/>
    <w:pPr>
      <w:tabs>
        <w:tab w:val="center" w:pos="4536"/>
        <w:tab w:val="right" w:pos="9072"/>
      </w:tabs>
    </w:pPr>
  </w:style>
  <w:style w:type="character" w:styleId="Hyperlink">
    <w:name w:val="Hyperlink"/>
    <w:rsid w:val="007C0EA5"/>
    <w:rPr>
      <w:color w:val="0000FF"/>
      <w:u w:val="single"/>
    </w:rPr>
  </w:style>
  <w:style w:type="paragraph" w:styleId="BodyTextIndent2">
    <w:name w:val="Body Text Indent 2"/>
    <w:basedOn w:val="Normal"/>
    <w:rsid w:val="007C0EA5"/>
    <w:pPr>
      <w:pBdr>
        <w:top w:val="single" w:sz="4" w:space="1" w:color="auto"/>
      </w:pBdr>
      <w:tabs>
        <w:tab w:val="left" w:pos="-1440"/>
        <w:tab w:val="left" w:pos="-720"/>
        <w:tab w:val="left" w:pos="3969"/>
        <w:tab w:val="left" w:pos="4251"/>
      </w:tabs>
      <w:ind w:left="-851"/>
      <w:jc w:val="both"/>
    </w:pPr>
    <w:rPr>
      <w:rFonts w:ascii="CG Times (W1)" w:hAnsi="CG Times (W1)"/>
      <w:sz w:val="19"/>
      <w:szCs w:val="20"/>
      <w:lang w:val="fr-BE" w:eastAsia="nl-NL"/>
    </w:rPr>
  </w:style>
  <w:style w:type="paragraph" w:styleId="BodyText2">
    <w:name w:val="Body Text 2"/>
    <w:basedOn w:val="Normal"/>
    <w:link w:val="BodyText2Char"/>
    <w:rsid w:val="002B4AED"/>
    <w:pPr>
      <w:spacing w:after="120" w:line="480" w:lineRule="auto"/>
    </w:pPr>
  </w:style>
  <w:style w:type="character" w:customStyle="1" w:styleId="BodyText2Char">
    <w:name w:val="Body Text 2 Char"/>
    <w:link w:val="BodyText2"/>
    <w:rsid w:val="002B4AED"/>
    <w:rPr>
      <w:sz w:val="24"/>
      <w:szCs w:val="24"/>
      <w:lang w:val="fr-FR" w:eastAsia="en-US"/>
    </w:rPr>
  </w:style>
  <w:style w:type="paragraph" w:styleId="BodyText3">
    <w:name w:val="Body Text 3"/>
    <w:basedOn w:val="Normal"/>
    <w:link w:val="BodyText3Char"/>
    <w:rsid w:val="002B4AED"/>
    <w:pPr>
      <w:spacing w:after="120"/>
    </w:pPr>
    <w:rPr>
      <w:sz w:val="16"/>
      <w:szCs w:val="16"/>
    </w:rPr>
  </w:style>
  <w:style w:type="character" w:customStyle="1" w:styleId="BodyText3Char">
    <w:name w:val="Body Text 3 Char"/>
    <w:link w:val="BodyText3"/>
    <w:rsid w:val="002B4AED"/>
    <w:rPr>
      <w:sz w:val="16"/>
      <w:szCs w:val="16"/>
      <w:lang w:val="fr-FR" w:eastAsia="en-US"/>
    </w:rPr>
  </w:style>
  <w:style w:type="paragraph" w:customStyle="1" w:styleId="Default">
    <w:name w:val="Default"/>
    <w:rsid w:val="00907137"/>
    <w:pPr>
      <w:autoSpaceDE w:val="0"/>
      <w:autoSpaceDN w:val="0"/>
      <w:adjustRightInd w:val="0"/>
    </w:pPr>
    <w:rPr>
      <w:rFonts w:ascii="Calibri" w:hAnsi="Calibri" w:cs="Calibri"/>
      <w:color w:val="000000"/>
      <w:sz w:val="24"/>
      <w:szCs w:val="24"/>
      <w:lang w:val="nl-BE" w:eastAsia="nl-BE"/>
    </w:rPr>
  </w:style>
  <w:style w:type="character" w:styleId="CommentReference">
    <w:name w:val="annotation reference"/>
    <w:uiPriority w:val="99"/>
    <w:unhideWhenUsed/>
    <w:rsid w:val="006C29CB"/>
    <w:rPr>
      <w:sz w:val="16"/>
      <w:szCs w:val="16"/>
    </w:rPr>
  </w:style>
  <w:style w:type="paragraph" w:styleId="CommentText">
    <w:name w:val="annotation text"/>
    <w:basedOn w:val="Normal"/>
    <w:link w:val="CommentTextChar"/>
    <w:rsid w:val="00B03BE2"/>
    <w:rPr>
      <w:sz w:val="20"/>
      <w:szCs w:val="20"/>
    </w:rPr>
  </w:style>
  <w:style w:type="character" w:customStyle="1" w:styleId="CommentTextChar">
    <w:name w:val="Comment Text Char"/>
    <w:link w:val="CommentText"/>
    <w:rsid w:val="00B03BE2"/>
    <w:rPr>
      <w:lang w:val="fr-FR" w:eastAsia="en-US"/>
    </w:rPr>
  </w:style>
  <w:style w:type="paragraph" w:styleId="CommentSubject">
    <w:name w:val="annotation subject"/>
    <w:basedOn w:val="CommentText"/>
    <w:next w:val="CommentText"/>
    <w:link w:val="CommentSubjectChar"/>
    <w:rsid w:val="00B03BE2"/>
    <w:rPr>
      <w:b/>
      <w:bCs/>
    </w:rPr>
  </w:style>
  <w:style w:type="character" w:customStyle="1" w:styleId="CommentSubjectChar">
    <w:name w:val="Comment Subject Char"/>
    <w:link w:val="CommentSubject"/>
    <w:rsid w:val="00B03BE2"/>
    <w:rPr>
      <w:b/>
      <w:bCs/>
      <w:lang w:val="fr-FR" w:eastAsia="en-US"/>
    </w:rPr>
  </w:style>
  <w:style w:type="paragraph" w:styleId="Revision">
    <w:name w:val="Revision"/>
    <w:hidden/>
    <w:uiPriority w:val="99"/>
    <w:semiHidden/>
    <w:rsid w:val="00B03BE2"/>
    <w:rPr>
      <w:sz w:val="24"/>
      <w:szCs w:val="24"/>
      <w:lang w:val="fr-FR" w:eastAsia="en-US"/>
    </w:rPr>
  </w:style>
  <w:style w:type="paragraph" w:styleId="BalloonText">
    <w:name w:val="Balloon Text"/>
    <w:basedOn w:val="Normal"/>
    <w:link w:val="BalloonTextChar"/>
    <w:rsid w:val="00B03BE2"/>
    <w:rPr>
      <w:rFonts w:ascii="Segoe UI" w:hAnsi="Segoe UI" w:cs="Segoe UI"/>
      <w:sz w:val="18"/>
      <w:szCs w:val="18"/>
    </w:rPr>
  </w:style>
  <w:style w:type="character" w:customStyle="1" w:styleId="BalloonTextChar">
    <w:name w:val="Balloon Text Char"/>
    <w:link w:val="BalloonText"/>
    <w:rsid w:val="00B03BE2"/>
    <w:rPr>
      <w:rFonts w:ascii="Segoe UI" w:hAnsi="Segoe UI" w:cs="Segoe UI"/>
      <w:sz w:val="18"/>
      <w:szCs w:val="18"/>
      <w:lang w:val="fr-FR" w:eastAsia="en-US"/>
    </w:rPr>
  </w:style>
  <w:style w:type="character" w:styleId="FollowedHyperlink">
    <w:name w:val="FollowedHyperlink"/>
    <w:basedOn w:val="DefaultParagraphFont"/>
    <w:rsid w:val="00686D6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commission/presscorner/detail/en/qanda_20_57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fbww.eu/publications-and-downloads/press-releases/covid-19-efbww-info-from-and-for-efbww-affiliates/481-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fbww.eu/stream/4d1ccab2-7f8f-405a-adfe-b01278b55283" TargetMode="External"/><Relationship Id="rId4" Type="http://schemas.openxmlformats.org/officeDocument/2006/relationships/settings" Target="settings.xml"/><Relationship Id="rId9" Type="http://schemas.openxmlformats.org/officeDocument/2006/relationships/hyperlink" Target="https://www.efbww.eu/stream/52d3c8d9-8ffc-494c-8be0-f112dcb5e53c"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efbww.eu" TargetMode="External"/><Relationship Id="rId1" Type="http://schemas.openxmlformats.org/officeDocument/2006/relationships/hyperlink" Target="mailto:info@efbww.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89B90-3C0E-44B7-8528-68C715486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2741</Words>
  <Characters>15076</Characters>
  <Application>Microsoft Office Word</Application>
  <DocSecurity>0</DocSecurity>
  <Lines>125</Lines>
  <Paragraphs>35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Déclaration commune de</vt:lpstr>
      <vt:lpstr>Déclaration commune de</vt:lpstr>
    </vt:vector>
  </TitlesOfParts>
  <Company/>
  <LinksUpToDate>false</LinksUpToDate>
  <CharactersWithSpaces>17782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Déclaration commune de</dc:title>
  <dc:creator>sam</dc:creator>
  <dc:description>translated by NORDICA (pl)</dc:description>
  <cp:lastModifiedBy>Tanja Vanmeenen (EFBH)</cp:lastModifiedBy>
  <cp:revision>4</cp:revision>
  <cp:lastPrinted>2020-06-04T10:33:00Z</cp:lastPrinted>
  <dcterms:created xsi:type="dcterms:W3CDTF">2020-06-04T08:33:00Z</dcterms:created>
  <dcterms:modified xsi:type="dcterms:W3CDTF">2020-06-04T10:46:00Z</dcterms:modified>
</cp:coreProperties>
</file>